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F24C" w14:textId="77777777" w:rsidR="00E85E19" w:rsidRDefault="00E85E19" w:rsidP="00045EE0">
      <w:pPr>
        <w:rPr>
          <w:rFonts w:ascii="Times New Roman" w:hAnsi="Times New Roman" w:cs="Times New Roman"/>
          <w:b/>
          <w:bCs/>
          <w:sz w:val="20"/>
          <w:szCs w:val="20"/>
        </w:rPr>
      </w:pPr>
    </w:p>
    <w:p w14:paraId="5D133DA8" w14:textId="1343E312" w:rsidR="005E1FD1" w:rsidRPr="00E85E19" w:rsidRDefault="005E1FD1" w:rsidP="00045EE0">
      <w:pPr>
        <w:rPr>
          <w:rFonts w:ascii="Times New Roman" w:hAnsi="Times New Roman" w:cs="Times New Roman"/>
          <w:b/>
          <w:bCs/>
          <w:sz w:val="20"/>
          <w:szCs w:val="20"/>
        </w:rPr>
      </w:pPr>
      <w:r>
        <w:rPr>
          <w:rFonts w:ascii="Times New Roman" w:hAnsi="Times New Roman"/>
          <w:b/>
          <w:sz w:val="20"/>
        </w:rPr>
        <w:t>Annex 11 to the UL Rules of Study</w:t>
      </w:r>
    </w:p>
    <w:p w14:paraId="46313C9C" w14:textId="77777777" w:rsidR="005E1FD1" w:rsidRPr="006C51F7" w:rsidRDefault="005E1FD1" w:rsidP="005E1FD1">
      <w:pPr>
        <w:spacing w:after="0" w:line="240" w:lineRule="auto"/>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1361"/>
        <w:gridCol w:w="4730"/>
        <w:gridCol w:w="7903"/>
      </w:tblGrid>
      <w:tr w:rsidR="005E1FD1" w:rsidRPr="006C51F7" w14:paraId="72EE217C" w14:textId="77777777" w:rsidTr="00843ED1">
        <w:tc>
          <w:tcPr>
            <w:tcW w:w="1361" w:type="dxa"/>
          </w:tcPr>
          <w:p w14:paraId="69EEF9B2"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Ref. ID</w:t>
            </w:r>
          </w:p>
        </w:tc>
        <w:tc>
          <w:tcPr>
            <w:tcW w:w="4730" w:type="dxa"/>
          </w:tcPr>
          <w:p w14:paraId="0FEE1761" w14:textId="5E8925AC"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Applicability </w:t>
            </w:r>
          </w:p>
        </w:tc>
        <w:tc>
          <w:tcPr>
            <w:tcW w:w="7903" w:type="dxa"/>
          </w:tcPr>
          <w:p w14:paraId="3C03A56D" w14:textId="3441AD12"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Faculty Regulations</w:t>
            </w:r>
          </w:p>
        </w:tc>
      </w:tr>
      <w:tr w:rsidR="005E1FD1" w:rsidRPr="006C51F7" w14:paraId="4C287F48" w14:textId="77777777" w:rsidTr="00843ED1">
        <w:tc>
          <w:tcPr>
            <w:tcW w:w="13994" w:type="dxa"/>
            <w:gridSpan w:val="3"/>
          </w:tcPr>
          <w:p w14:paraId="3487788D" w14:textId="33B00408"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Faculty of International and Political Studies (FIPS)</w:t>
            </w:r>
          </w:p>
        </w:tc>
      </w:tr>
      <w:tr w:rsidR="005E1FD1" w:rsidRPr="006C51F7" w14:paraId="0656DB85" w14:textId="77777777" w:rsidTr="00843ED1">
        <w:tc>
          <w:tcPr>
            <w:tcW w:w="1361" w:type="dxa"/>
          </w:tcPr>
          <w:p w14:paraId="48A7C0A0"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5(1)(b)</w:t>
            </w:r>
          </w:p>
        </w:tc>
        <w:tc>
          <w:tcPr>
            <w:tcW w:w="4730" w:type="dxa"/>
          </w:tcPr>
          <w:p w14:paraId="6695A14D"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Rules for the implementation of the student’s obligation to participate in particular forms/modes of classes</w:t>
            </w:r>
          </w:p>
        </w:tc>
        <w:tc>
          <w:tcPr>
            <w:tcW w:w="7903" w:type="dxa"/>
          </w:tcPr>
          <w:p w14:paraId="0968FF47" w14:textId="54BE05DA" w:rsidR="005E1FD1" w:rsidRPr="0091141E" w:rsidRDefault="00E439BB" w:rsidP="00A77698">
            <w:pPr>
              <w:ind w:right="485"/>
              <w:jc w:val="both"/>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Attendance of the students in all types of course classes delivered per the study schedules at</w:t>
            </w:r>
            <w:r w:rsidR="002B7397">
              <w:rPr>
                <w:rFonts w:ascii="Times New Roman" w:hAnsi="Times New Roman"/>
                <w:color w:val="000000" w:themeColor="text1"/>
                <w:sz w:val="20"/>
              </w:rPr>
              <w:t xml:space="preserve"> the Faculty of International and Political Studies of the</w:t>
            </w:r>
            <w:r>
              <w:rPr>
                <w:rFonts w:ascii="Times New Roman" w:hAnsi="Times New Roman"/>
                <w:color w:val="000000" w:themeColor="text1"/>
                <w:sz w:val="20"/>
              </w:rPr>
              <w:t xml:space="preserve"> UL is mandatory.</w:t>
            </w:r>
          </w:p>
          <w:p w14:paraId="2BEA0000" w14:textId="73BA6A1A" w:rsidR="001A4FB7" w:rsidRPr="0091141E" w:rsidRDefault="001A4FB7" w:rsidP="00A77698">
            <w:pPr>
              <w:ind w:right="485"/>
              <w:jc w:val="both"/>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The detailed terms of discharge of this obligation, including the alternatives for completing the make-up hours for excused and non-excused absence of students from course classes shall be specified by the Course Coordinator relevant to the classes.</w:t>
            </w:r>
          </w:p>
          <w:p w14:paraId="34C1B559" w14:textId="51856DA4" w:rsidR="001A4FB7" w:rsidRPr="0091141E" w:rsidRDefault="001A4FB7">
            <w:pPr>
              <w:ind w:right="485"/>
              <w:jc w:val="both"/>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These terms are integral to the relevant course syllabus and the students are introduced to it during their first class of the course.</w:t>
            </w:r>
          </w:p>
        </w:tc>
      </w:tr>
      <w:tr w:rsidR="005E1FD1" w:rsidRPr="006C51F7" w14:paraId="2844C5FB" w14:textId="77777777" w:rsidTr="00843ED1">
        <w:tc>
          <w:tcPr>
            <w:tcW w:w="1361" w:type="dxa"/>
          </w:tcPr>
          <w:p w14:paraId="4D303C08"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5(1)(c)</w:t>
            </w:r>
          </w:p>
        </w:tc>
        <w:tc>
          <w:tcPr>
            <w:tcW w:w="4730" w:type="dxa"/>
          </w:tcPr>
          <w:p w14:paraId="4E7BDA05"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Range and conditions for leading classes taught in a foreign language, for conducting knowledge and skills tests, diploma examinations, as well as for preparing Diploma Theses in a foreign language</w:t>
            </w:r>
          </w:p>
        </w:tc>
        <w:tc>
          <w:tcPr>
            <w:tcW w:w="7903" w:type="dxa"/>
          </w:tcPr>
          <w:p w14:paraId="0067C6DD" w14:textId="5FB11F6A" w:rsidR="002541DF" w:rsidRPr="006C51F7" w:rsidRDefault="002541DF" w:rsidP="0091141E">
            <w:pPr>
              <w:ind w:right="477"/>
              <w:jc w:val="both"/>
              <w:rPr>
                <w:rFonts w:ascii="Times New Roman" w:hAnsi="Times New Roman" w:cs="Times New Roman"/>
                <w:sz w:val="20"/>
                <w:szCs w:val="20"/>
              </w:rPr>
            </w:pPr>
            <w:r>
              <w:rPr>
                <w:rFonts w:ascii="Times New Roman" w:hAnsi="Times New Roman"/>
                <w:sz w:val="20"/>
              </w:rPr>
              <w:t xml:space="preserve">Diploma theses in foreign languages are permitted in Polish-language study programmes by authorisation in the form of a Resolution passed by the relevant Faculty Council. For foreign-language study programmes, the diploma thesis language shall be the language of the relevant field of study. </w:t>
            </w:r>
          </w:p>
        </w:tc>
      </w:tr>
      <w:tr w:rsidR="005E1FD1" w:rsidRPr="006C51F7" w14:paraId="26719088" w14:textId="77777777" w:rsidTr="00843ED1">
        <w:tc>
          <w:tcPr>
            <w:tcW w:w="1361" w:type="dxa"/>
          </w:tcPr>
          <w:p w14:paraId="716C02C7"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5(1)(d)</w:t>
            </w:r>
          </w:p>
        </w:tc>
        <w:tc>
          <w:tcPr>
            <w:tcW w:w="4730" w:type="dxa"/>
          </w:tcPr>
          <w:p w14:paraId="57B3774A"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Length of grading period—either semesterly or yearly—used with uniform (direct) Master’s degree programmes or extramural (weekend, evening) studies</w:t>
            </w:r>
          </w:p>
        </w:tc>
        <w:tc>
          <w:tcPr>
            <w:tcW w:w="7903" w:type="dxa"/>
          </w:tcPr>
          <w:p w14:paraId="1AF43A69" w14:textId="67FF7453" w:rsidR="005E1FD1" w:rsidRPr="006C51F7" w:rsidRDefault="00FE4383" w:rsidP="0091141E">
            <w:pPr>
              <w:jc w:val="both"/>
              <w:rPr>
                <w:rFonts w:ascii="Times New Roman" w:hAnsi="Times New Roman" w:cs="Times New Roman"/>
                <w:sz w:val="20"/>
                <w:szCs w:val="20"/>
              </w:rPr>
            </w:pPr>
            <w:r>
              <w:rPr>
                <w:rFonts w:ascii="Times New Roman" w:hAnsi="Times New Roman"/>
                <w:sz w:val="20"/>
              </w:rPr>
              <w:t>The grading period of every study programme at</w:t>
            </w:r>
            <w:r w:rsidR="00FB2D47">
              <w:rPr>
                <w:rFonts w:ascii="Times New Roman" w:hAnsi="Times New Roman"/>
                <w:sz w:val="20"/>
              </w:rPr>
              <w:t xml:space="preserve"> </w:t>
            </w:r>
            <w:r w:rsidR="00FB2D47">
              <w:rPr>
                <w:rFonts w:ascii="Times New Roman" w:hAnsi="Times New Roman"/>
                <w:color w:val="000000" w:themeColor="text1"/>
                <w:sz w:val="20"/>
              </w:rPr>
              <w:t>the Faculty of International and Political Studies of the</w:t>
            </w:r>
            <w:r>
              <w:rPr>
                <w:rFonts w:ascii="Times New Roman" w:hAnsi="Times New Roman"/>
                <w:sz w:val="20"/>
              </w:rPr>
              <w:t xml:space="preserve"> UL </w:t>
            </w:r>
            <w:r w:rsidR="00FB2D47">
              <w:rPr>
                <w:rFonts w:ascii="Times New Roman" w:hAnsi="Times New Roman"/>
                <w:sz w:val="20"/>
              </w:rPr>
              <w:t>s</w:t>
            </w:r>
            <w:r>
              <w:rPr>
                <w:rFonts w:ascii="Times New Roman" w:hAnsi="Times New Roman"/>
                <w:sz w:val="20"/>
              </w:rPr>
              <w:t>hall be one semester.</w:t>
            </w:r>
          </w:p>
        </w:tc>
      </w:tr>
      <w:tr w:rsidR="005E1FD1" w:rsidRPr="006C51F7" w14:paraId="408D84F0" w14:textId="77777777" w:rsidTr="00843ED1">
        <w:tc>
          <w:tcPr>
            <w:tcW w:w="1361" w:type="dxa"/>
          </w:tcPr>
          <w:p w14:paraId="6DC288B2"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5(1)(e)</w:t>
            </w:r>
          </w:p>
        </w:tc>
        <w:tc>
          <w:tcPr>
            <w:tcW w:w="4730" w:type="dxa"/>
          </w:tcPr>
          <w:p w14:paraId="5B0305F4"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Rules of acceptability and conditions for retaking the first semester or the first year of study</w:t>
            </w:r>
          </w:p>
        </w:tc>
        <w:tc>
          <w:tcPr>
            <w:tcW w:w="7903" w:type="dxa"/>
          </w:tcPr>
          <w:p w14:paraId="1E08540F" w14:textId="107A28E0" w:rsidR="005E1FD1" w:rsidRPr="006C51F7" w:rsidRDefault="00A77698" w:rsidP="00843ED1">
            <w:pPr>
              <w:ind w:right="477"/>
              <w:rPr>
                <w:rFonts w:ascii="Times New Roman" w:hAnsi="Times New Roman" w:cs="Times New Roman"/>
                <w:sz w:val="20"/>
                <w:szCs w:val="20"/>
              </w:rPr>
            </w:pPr>
            <w:r>
              <w:rPr>
                <w:rFonts w:ascii="Times New Roman" w:hAnsi="Times New Roman"/>
                <w:sz w:val="20"/>
              </w:rPr>
              <w:t xml:space="preserve">No conditional </w:t>
            </w:r>
            <w:r w:rsidR="008573AB">
              <w:rPr>
                <w:rFonts w:ascii="Times New Roman" w:hAnsi="Times New Roman"/>
                <w:sz w:val="20"/>
              </w:rPr>
              <w:t>promotion</w:t>
            </w:r>
            <w:r>
              <w:rPr>
                <w:rFonts w:ascii="Times New Roman" w:hAnsi="Times New Roman"/>
                <w:sz w:val="20"/>
              </w:rPr>
              <w:t xml:space="preserve"> </w:t>
            </w:r>
            <w:r w:rsidR="008573AB">
              <w:rPr>
                <w:rFonts w:ascii="Times New Roman" w:hAnsi="Times New Roman"/>
                <w:sz w:val="20"/>
              </w:rPr>
              <w:t>to the second</w:t>
            </w:r>
            <w:r>
              <w:rPr>
                <w:rFonts w:ascii="Times New Roman" w:hAnsi="Times New Roman"/>
                <w:sz w:val="20"/>
              </w:rPr>
              <w:t xml:space="preserve"> semester is provided for.</w:t>
            </w:r>
          </w:p>
        </w:tc>
      </w:tr>
      <w:tr w:rsidR="005E1FD1" w:rsidRPr="006C51F7" w14:paraId="778D9245" w14:textId="77777777" w:rsidTr="00843ED1">
        <w:tc>
          <w:tcPr>
            <w:tcW w:w="1361" w:type="dxa"/>
          </w:tcPr>
          <w:p w14:paraId="1031BB97"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5(1)(f)</w:t>
            </w:r>
          </w:p>
        </w:tc>
        <w:tc>
          <w:tcPr>
            <w:tcW w:w="4730" w:type="dxa"/>
          </w:tcPr>
          <w:p w14:paraId="5EF63F82"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Maximum number of teaching hours and the maximum number of examinations per academic year</w:t>
            </w:r>
          </w:p>
        </w:tc>
        <w:tc>
          <w:tcPr>
            <w:tcW w:w="7903" w:type="dxa"/>
          </w:tcPr>
          <w:p w14:paraId="6871F9EB" w14:textId="19048E2C" w:rsidR="005E1FD1" w:rsidRPr="005E1FD1" w:rsidRDefault="000729B7" w:rsidP="005E1FD1">
            <w:pPr>
              <w:rPr>
                <w:rFonts w:ascii="Times New Roman" w:eastAsia="Times New Roman" w:hAnsi="Times New Roman" w:cs="Times New Roman"/>
                <w:color w:val="7030A0"/>
                <w:sz w:val="20"/>
                <w:szCs w:val="20"/>
              </w:rPr>
            </w:pPr>
            <w:r>
              <w:rPr>
                <w:rFonts w:ascii="Times New Roman" w:hAnsi="Times New Roman"/>
                <w:sz w:val="20"/>
              </w:rPr>
              <w:t>As specified in the study curriculum.</w:t>
            </w:r>
          </w:p>
        </w:tc>
      </w:tr>
      <w:tr w:rsidR="005E1FD1" w:rsidRPr="006C51F7" w14:paraId="370C7715" w14:textId="77777777" w:rsidTr="00843ED1">
        <w:tc>
          <w:tcPr>
            <w:tcW w:w="1361" w:type="dxa"/>
          </w:tcPr>
          <w:p w14:paraId="0D316279"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5(1)(g)</w:t>
            </w:r>
          </w:p>
        </w:tc>
        <w:tc>
          <w:tcPr>
            <w:tcW w:w="4730" w:type="dxa"/>
          </w:tcPr>
          <w:p w14:paraId="3A9B63BF"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Student’s minimum grade average of all courses taken to date of the current study pursuit for the eligibility of application for an individually arranged study schedule and curriculum (IPS)</w:t>
            </w:r>
          </w:p>
        </w:tc>
        <w:tc>
          <w:tcPr>
            <w:tcW w:w="7903" w:type="dxa"/>
          </w:tcPr>
          <w:p w14:paraId="764E5B2B" w14:textId="397EE2CE" w:rsidR="005E1FD1" w:rsidRPr="006C51F7" w:rsidRDefault="00D80470" w:rsidP="00843ED1">
            <w:pPr>
              <w:rPr>
                <w:rFonts w:ascii="Times New Roman" w:hAnsi="Times New Roman" w:cs="Times New Roman"/>
                <w:sz w:val="20"/>
                <w:szCs w:val="20"/>
              </w:rPr>
            </w:pPr>
            <w:r>
              <w:rPr>
                <w:rFonts w:ascii="Times New Roman" w:hAnsi="Times New Roman"/>
                <w:sz w:val="20"/>
              </w:rPr>
              <w:t>The minimum average grade shall be 4.7.</w:t>
            </w:r>
          </w:p>
        </w:tc>
      </w:tr>
      <w:tr w:rsidR="005E1FD1" w:rsidRPr="006C51F7" w14:paraId="14E7FF19" w14:textId="77777777" w:rsidTr="00843ED1">
        <w:tc>
          <w:tcPr>
            <w:tcW w:w="1361" w:type="dxa"/>
          </w:tcPr>
          <w:p w14:paraId="74414135"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5(1)(h)</w:t>
            </w:r>
          </w:p>
        </w:tc>
        <w:tc>
          <w:tcPr>
            <w:tcW w:w="4730" w:type="dxa"/>
          </w:tcPr>
          <w:p w14:paraId="066F93A1"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Criteria for acceptability and the procedure of processing the student’s appeal from the decision on refusal to credit a course/course component</w:t>
            </w:r>
          </w:p>
        </w:tc>
        <w:tc>
          <w:tcPr>
            <w:tcW w:w="7903" w:type="dxa"/>
          </w:tcPr>
          <w:p w14:paraId="03E575E2" w14:textId="2A03B3C8" w:rsidR="005E1FD1" w:rsidRPr="006C51F7" w:rsidRDefault="00512C3D" w:rsidP="005E1FD1">
            <w:pPr>
              <w:ind w:right="477"/>
              <w:jc w:val="both"/>
              <w:rPr>
                <w:rFonts w:ascii="Times New Roman" w:hAnsi="Times New Roman" w:cs="Times New Roman"/>
                <w:sz w:val="20"/>
                <w:szCs w:val="20"/>
              </w:rPr>
            </w:pPr>
            <w:r>
              <w:rPr>
                <w:rFonts w:ascii="Times New Roman" w:hAnsi="Times New Roman"/>
                <w:sz w:val="20"/>
              </w:rPr>
              <w:t xml:space="preserve">Whenever reasonable, a student may appeal to the Dean. The Dean will examine the case appealed and has the authority to order </w:t>
            </w:r>
            <w:r w:rsidR="00DE244B">
              <w:rPr>
                <w:rFonts w:ascii="Times New Roman" w:hAnsi="Times New Roman"/>
                <w:sz w:val="20"/>
              </w:rPr>
              <w:t>credit</w:t>
            </w:r>
            <w:r w:rsidR="00EB0D83">
              <w:rPr>
                <w:rFonts w:ascii="Times New Roman" w:hAnsi="Times New Roman"/>
                <w:sz w:val="20"/>
              </w:rPr>
              <w:t>ing</w:t>
            </w:r>
            <w:r>
              <w:rPr>
                <w:rFonts w:ascii="Times New Roman" w:hAnsi="Times New Roman"/>
                <w:sz w:val="20"/>
              </w:rPr>
              <w:t xml:space="preserve"> the c</w:t>
            </w:r>
            <w:r w:rsidR="00B53A46">
              <w:rPr>
                <w:rFonts w:ascii="Times New Roman" w:hAnsi="Times New Roman"/>
                <w:sz w:val="20"/>
              </w:rPr>
              <w:t>ourse</w:t>
            </w:r>
            <w:r>
              <w:rPr>
                <w:rFonts w:ascii="Times New Roman" w:hAnsi="Times New Roman"/>
                <w:sz w:val="20"/>
              </w:rPr>
              <w:t xml:space="preserve"> or its relevant component</w:t>
            </w:r>
            <w:r w:rsidR="00DE244B">
              <w:rPr>
                <w:rFonts w:ascii="Times New Roman" w:hAnsi="Times New Roman"/>
                <w:sz w:val="20"/>
              </w:rPr>
              <w:t xml:space="preserve"> before the examination board</w:t>
            </w:r>
            <w:r>
              <w:rPr>
                <w:rFonts w:ascii="Times New Roman" w:hAnsi="Times New Roman"/>
                <w:sz w:val="20"/>
              </w:rPr>
              <w:t xml:space="preserve">. The </w:t>
            </w:r>
            <w:r w:rsidR="00ED2B9D">
              <w:rPr>
                <w:rFonts w:ascii="Times New Roman" w:hAnsi="Times New Roman"/>
                <w:sz w:val="20"/>
              </w:rPr>
              <w:t>credit</w:t>
            </w:r>
            <w:r w:rsidR="00EB0D83">
              <w:rPr>
                <w:rFonts w:ascii="Times New Roman" w:hAnsi="Times New Roman"/>
                <w:sz w:val="20"/>
              </w:rPr>
              <w:t>ing procedure</w:t>
            </w:r>
            <w:r w:rsidR="00ED2B9D">
              <w:rPr>
                <w:rFonts w:ascii="Times New Roman" w:hAnsi="Times New Roman"/>
                <w:sz w:val="20"/>
              </w:rPr>
              <w:t xml:space="preserve"> </w:t>
            </w:r>
            <w:r>
              <w:rPr>
                <w:rFonts w:ascii="Times New Roman" w:hAnsi="Times New Roman"/>
                <w:sz w:val="20"/>
              </w:rPr>
              <w:t xml:space="preserve">shall </w:t>
            </w:r>
            <w:r w:rsidR="00566501">
              <w:rPr>
                <w:rFonts w:ascii="Times New Roman" w:hAnsi="Times New Roman"/>
                <w:sz w:val="20"/>
              </w:rPr>
              <w:t>be pursuant to</w:t>
            </w:r>
            <w:r>
              <w:rPr>
                <w:rFonts w:ascii="Times New Roman" w:hAnsi="Times New Roman"/>
                <w:sz w:val="20"/>
              </w:rPr>
              <w:t xml:space="preserve"> the regulations of a</w:t>
            </w:r>
            <w:r w:rsidR="00ED2B9D">
              <w:rPr>
                <w:rFonts w:ascii="Times New Roman" w:hAnsi="Times New Roman"/>
                <w:sz w:val="20"/>
              </w:rPr>
              <w:t xml:space="preserve">n </w:t>
            </w:r>
            <w:r>
              <w:rPr>
                <w:rFonts w:ascii="Times New Roman" w:hAnsi="Times New Roman"/>
                <w:sz w:val="20"/>
              </w:rPr>
              <w:t>examination</w:t>
            </w:r>
            <w:r w:rsidR="00F23E8E">
              <w:rPr>
                <w:rFonts w:ascii="Times New Roman" w:hAnsi="Times New Roman"/>
                <w:sz w:val="20"/>
              </w:rPr>
              <w:t xml:space="preserve"> before an examination board</w:t>
            </w:r>
            <w:r>
              <w:rPr>
                <w:rFonts w:ascii="Times New Roman" w:hAnsi="Times New Roman"/>
                <w:sz w:val="20"/>
              </w:rPr>
              <w:t>.</w:t>
            </w:r>
          </w:p>
        </w:tc>
      </w:tr>
      <w:tr w:rsidR="005E1FD1" w:rsidRPr="006C51F7" w14:paraId="526A4996" w14:textId="77777777" w:rsidTr="00843ED1">
        <w:tc>
          <w:tcPr>
            <w:tcW w:w="1361" w:type="dxa"/>
          </w:tcPr>
          <w:p w14:paraId="23322B10"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5(1)(</w:t>
            </w:r>
            <w:proofErr w:type="spellStart"/>
            <w:r>
              <w:rPr>
                <w:rFonts w:ascii="Times New Roman" w:hAnsi="Times New Roman"/>
                <w:b/>
                <w:color w:val="000000"/>
                <w:sz w:val="20"/>
              </w:rPr>
              <w:t>i</w:t>
            </w:r>
            <w:proofErr w:type="spellEnd"/>
            <w:r>
              <w:rPr>
                <w:rFonts w:ascii="Times New Roman" w:hAnsi="Times New Roman"/>
                <w:b/>
                <w:color w:val="000000"/>
                <w:sz w:val="20"/>
              </w:rPr>
              <w:t>)</w:t>
            </w:r>
          </w:p>
        </w:tc>
        <w:tc>
          <w:tcPr>
            <w:tcW w:w="4730" w:type="dxa"/>
          </w:tcPr>
          <w:p w14:paraId="56AADB81"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Mandatory format of diploma thesis, subject to Section § 52(2)</w:t>
            </w:r>
          </w:p>
        </w:tc>
        <w:tc>
          <w:tcPr>
            <w:tcW w:w="7903" w:type="dxa"/>
          </w:tcPr>
          <w:p w14:paraId="73B3C3C5" w14:textId="4D60694C" w:rsidR="005E1FD1" w:rsidRPr="006C51F7" w:rsidRDefault="00864686" w:rsidP="00843ED1">
            <w:pPr>
              <w:rPr>
                <w:rFonts w:ascii="Times New Roman" w:hAnsi="Times New Roman" w:cs="Times New Roman"/>
                <w:sz w:val="20"/>
                <w:szCs w:val="20"/>
              </w:rPr>
            </w:pPr>
            <w:r>
              <w:rPr>
                <w:rFonts w:ascii="Times New Roman" w:hAnsi="Times New Roman"/>
                <w:sz w:val="20"/>
              </w:rPr>
              <w:t xml:space="preserve">The mandatory format of diploma thesis is a written monograph. </w:t>
            </w:r>
          </w:p>
        </w:tc>
      </w:tr>
      <w:tr w:rsidR="005E1FD1" w:rsidRPr="006C51F7" w14:paraId="0A124046" w14:textId="77777777" w:rsidTr="00843ED1">
        <w:tc>
          <w:tcPr>
            <w:tcW w:w="1361" w:type="dxa"/>
          </w:tcPr>
          <w:p w14:paraId="5295E46B" w14:textId="77777777" w:rsidR="005E1FD1" w:rsidRPr="006C51F7" w:rsidRDefault="005E1FD1" w:rsidP="00843ED1">
            <w:pPr>
              <w:jc w:val="center"/>
              <w:rPr>
                <w:rFonts w:ascii="Times New Roman" w:hAnsi="Times New Roman" w:cs="Times New Roman"/>
                <w:b/>
                <w:sz w:val="20"/>
                <w:szCs w:val="20"/>
              </w:rPr>
            </w:pPr>
            <w:bookmarkStart w:id="0" w:name="_Hlk67505616"/>
            <w:r>
              <w:rPr>
                <w:rFonts w:ascii="Times New Roman" w:hAnsi="Times New Roman"/>
                <w:b/>
                <w:sz w:val="20"/>
              </w:rPr>
              <w:t xml:space="preserve">§ </w:t>
            </w:r>
            <w:r>
              <w:rPr>
                <w:rFonts w:ascii="Times New Roman" w:hAnsi="Times New Roman"/>
                <w:b/>
                <w:color w:val="000000"/>
                <w:sz w:val="20"/>
              </w:rPr>
              <w:t>5(1)(j)</w:t>
            </w:r>
          </w:p>
        </w:tc>
        <w:tc>
          <w:tcPr>
            <w:tcW w:w="4730" w:type="dxa"/>
          </w:tcPr>
          <w:p w14:paraId="5B68D069"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Scope of examination requirements for the diploma examination</w:t>
            </w:r>
          </w:p>
        </w:tc>
        <w:tc>
          <w:tcPr>
            <w:tcW w:w="7903" w:type="dxa"/>
          </w:tcPr>
          <w:p w14:paraId="5F10296E" w14:textId="7F9DF295" w:rsidR="005E1FD1" w:rsidRPr="006C51F7" w:rsidRDefault="00907097" w:rsidP="00B41854">
            <w:pPr>
              <w:jc w:val="both"/>
              <w:rPr>
                <w:rFonts w:ascii="Times New Roman" w:hAnsi="Times New Roman" w:cs="Times New Roman"/>
                <w:sz w:val="20"/>
                <w:szCs w:val="20"/>
              </w:rPr>
            </w:pPr>
            <w:r>
              <w:rPr>
                <w:rFonts w:ascii="Times New Roman" w:hAnsi="Times New Roman"/>
                <w:sz w:val="20"/>
              </w:rPr>
              <w:t xml:space="preserve">The scope of examination requirements is established separately for each study programme and considers the specialities in the form of a question list approved by the Faculty Teaching Committee, the Faculty Committee for </w:t>
            </w:r>
            <w:r w:rsidR="00B11C47">
              <w:rPr>
                <w:rFonts w:ascii="Times New Roman" w:hAnsi="Times New Roman"/>
                <w:sz w:val="20"/>
              </w:rPr>
              <w:t xml:space="preserve">Quality of </w:t>
            </w:r>
            <w:r>
              <w:rPr>
                <w:rFonts w:ascii="Times New Roman" w:hAnsi="Times New Roman"/>
                <w:sz w:val="20"/>
              </w:rPr>
              <w:t xml:space="preserve">Education, and the Faculty Council. </w:t>
            </w:r>
          </w:p>
        </w:tc>
      </w:tr>
      <w:tr w:rsidR="005E1FD1" w:rsidRPr="006C51F7" w14:paraId="0AE1F4BE" w14:textId="77777777" w:rsidTr="00843ED1">
        <w:tc>
          <w:tcPr>
            <w:tcW w:w="1361" w:type="dxa"/>
          </w:tcPr>
          <w:p w14:paraId="793872B3"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5(1)(k)</w:t>
            </w:r>
          </w:p>
        </w:tc>
        <w:tc>
          <w:tcPr>
            <w:tcW w:w="4730" w:type="dxa"/>
          </w:tcPr>
          <w:p w14:paraId="059542DA"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Procedure for conducting open diploma examinations</w:t>
            </w:r>
          </w:p>
        </w:tc>
        <w:tc>
          <w:tcPr>
            <w:tcW w:w="7903" w:type="dxa"/>
          </w:tcPr>
          <w:p w14:paraId="4A32688E" w14:textId="3E2DDA8F" w:rsidR="005E1FD1" w:rsidRPr="006C51F7" w:rsidRDefault="00A852F1" w:rsidP="00843ED1">
            <w:pPr>
              <w:rPr>
                <w:rFonts w:ascii="Times New Roman" w:hAnsi="Times New Roman" w:cs="Times New Roman"/>
                <w:sz w:val="20"/>
                <w:szCs w:val="20"/>
              </w:rPr>
            </w:pPr>
            <w:r>
              <w:rPr>
                <w:rFonts w:ascii="Times New Roman" w:hAnsi="Times New Roman"/>
                <w:sz w:val="20"/>
              </w:rPr>
              <w:t>See the Rules of Study, Section § 58(6).</w:t>
            </w:r>
          </w:p>
        </w:tc>
      </w:tr>
      <w:bookmarkEnd w:id="0"/>
      <w:tr w:rsidR="005E1FD1" w:rsidRPr="006C51F7" w14:paraId="6CADC47A" w14:textId="77777777" w:rsidTr="00843ED1">
        <w:tc>
          <w:tcPr>
            <w:tcW w:w="1361" w:type="dxa"/>
          </w:tcPr>
          <w:p w14:paraId="1976D8BE"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lastRenderedPageBreak/>
              <w:t xml:space="preserve">§ </w:t>
            </w:r>
            <w:r>
              <w:rPr>
                <w:rFonts w:ascii="Times New Roman" w:hAnsi="Times New Roman"/>
                <w:b/>
                <w:color w:val="000000"/>
                <w:sz w:val="20"/>
              </w:rPr>
              <w:t>5(2)(a)</w:t>
            </w:r>
          </w:p>
        </w:tc>
        <w:tc>
          <w:tcPr>
            <w:tcW w:w="4730" w:type="dxa"/>
          </w:tcPr>
          <w:p w14:paraId="7F65C1F1"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Maximum number of semester/study year repetitions per study programme at the Faculty</w:t>
            </w:r>
          </w:p>
        </w:tc>
        <w:tc>
          <w:tcPr>
            <w:tcW w:w="7903" w:type="dxa"/>
          </w:tcPr>
          <w:p w14:paraId="7DCE4158" w14:textId="43B03DA8" w:rsidR="005E1FD1" w:rsidRPr="006C51F7" w:rsidRDefault="00A4278B" w:rsidP="00843ED1">
            <w:pPr>
              <w:ind w:right="477"/>
              <w:rPr>
                <w:rFonts w:ascii="Times New Roman" w:hAnsi="Times New Roman" w:cs="Times New Roman"/>
                <w:sz w:val="20"/>
                <w:szCs w:val="20"/>
              </w:rPr>
            </w:pPr>
            <w:r>
              <w:rPr>
                <w:rFonts w:ascii="Times New Roman" w:hAnsi="Times New Roman"/>
                <w:sz w:val="20"/>
              </w:rPr>
              <w:t>There shall be two semester repetitions allowed.</w:t>
            </w:r>
          </w:p>
        </w:tc>
      </w:tr>
      <w:tr w:rsidR="005E1FD1" w:rsidRPr="006C51F7" w14:paraId="0D88ADB0" w14:textId="77777777" w:rsidTr="00843ED1">
        <w:tc>
          <w:tcPr>
            <w:tcW w:w="1361" w:type="dxa"/>
          </w:tcPr>
          <w:p w14:paraId="615771BB"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5(2)(b)</w:t>
            </w:r>
          </w:p>
        </w:tc>
        <w:tc>
          <w:tcPr>
            <w:tcW w:w="4730" w:type="dxa"/>
          </w:tcPr>
          <w:p w14:paraId="72B3050C"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Minimum number of ECTS credit points, or the minimum number of courses, allowing for a conditional promotion and registration for the following semester/study year</w:t>
            </w:r>
          </w:p>
        </w:tc>
        <w:tc>
          <w:tcPr>
            <w:tcW w:w="7903" w:type="dxa"/>
          </w:tcPr>
          <w:p w14:paraId="7873CCE7" w14:textId="743A4D31" w:rsidR="003D4C09" w:rsidRPr="006C51F7" w:rsidRDefault="00014836" w:rsidP="00B41854">
            <w:pPr>
              <w:ind w:left="-11" w:firstLine="11"/>
              <w:jc w:val="both"/>
              <w:rPr>
                <w:rFonts w:ascii="Times New Roman" w:hAnsi="Times New Roman" w:cs="Times New Roman"/>
                <w:sz w:val="20"/>
                <w:szCs w:val="20"/>
              </w:rPr>
            </w:pPr>
            <w:r>
              <w:rPr>
                <w:rFonts w:ascii="Times New Roman" w:hAnsi="Times New Roman"/>
                <w:sz w:val="20"/>
              </w:rPr>
              <w:t xml:space="preserve">For the second and following study semesters, a student can be granted a conditional promotion if the student fails no more than two courses. (With the exceptions of courses without eligibility for conditional promotion). The number of failed courses which ensure eligibility for conditional promotion </w:t>
            </w:r>
            <w:r w:rsidR="00D1314F">
              <w:rPr>
                <w:rFonts w:ascii="Times New Roman" w:hAnsi="Times New Roman"/>
                <w:sz w:val="20"/>
              </w:rPr>
              <w:t>to</w:t>
            </w:r>
            <w:r>
              <w:rPr>
                <w:rFonts w:ascii="Times New Roman" w:hAnsi="Times New Roman"/>
                <w:sz w:val="20"/>
              </w:rPr>
              <w:t xml:space="preserve"> a </w:t>
            </w:r>
            <w:r w:rsidR="00D1314F">
              <w:rPr>
                <w:rFonts w:ascii="Times New Roman" w:hAnsi="Times New Roman"/>
                <w:sz w:val="20"/>
              </w:rPr>
              <w:t xml:space="preserve">following </w:t>
            </w:r>
            <w:r>
              <w:rPr>
                <w:rFonts w:ascii="Times New Roman" w:hAnsi="Times New Roman"/>
                <w:sz w:val="20"/>
              </w:rPr>
              <w:t>semester is determined by considering all courses which caused conditional promotion from prior semesters until the student completes the make-up hours by the time and in a process determined by the Dean. The Dean determines the time and process for completion of make-up hours which cause conditional promotion from the semester with reference to the study schedule and the academic calendar.</w:t>
            </w:r>
          </w:p>
        </w:tc>
      </w:tr>
      <w:tr w:rsidR="005E1FD1" w:rsidRPr="006C51F7" w14:paraId="223763F5" w14:textId="77777777" w:rsidTr="00843ED1">
        <w:tc>
          <w:tcPr>
            <w:tcW w:w="1361" w:type="dxa"/>
          </w:tcPr>
          <w:p w14:paraId="4F7BDE7A"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5(2)(c)</w:t>
            </w:r>
          </w:p>
        </w:tc>
        <w:tc>
          <w:tcPr>
            <w:tcW w:w="4730" w:type="dxa"/>
          </w:tcPr>
          <w:p w14:paraId="5E12C83C"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Officially binding sequence of courses</w:t>
            </w:r>
          </w:p>
        </w:tc>
        <w:tc>
          <w:tcPr>
            <w:tcW w:w="7903" w:type="dxa"/>
          </w:tcPr>
          <w:p w14:paraId="11987E71" w14:textId="683876A7" w:rsidR="005E1FD1" w:rsidRPr="006C51F7" w:rsidRDefault="009B51B4" w:rsidP="00843ED1">
            <w:pPr>
              <w:rPr>
                <w:rFonts w:ascii="Times New Roman" w:hAnsi="Times New Roman" w:cs="Times New Roman"/>
                <w:color w:val="7030A0"/>
                <w:sz w:val="20"/>
                <w:szCs w:val="20"/>
              </w:rPr>
            </w:pPr>
            <w:r>
              <w:rPr>
                <w:rFonts w:ascii="Times New Roman" w:hAnsi="Times New Roman"/>
                <w:color w:val="000000" w:themeColor="text1"/>
                <w:sz w:val="20"/>
              </w:rPr>
              <w:t>As specified in the study curriculum.</w:t>
            </w:r>
          </w:p>
        </w:tc>
      </w:tr>
      <w:tr w:rsidR="005E1FD1" w:rsidRPr="006C51F7" w14:paraId="42ABA47B" w14:textId="77777777" w:rsidTr="00843ED1">
        <w:tc>
          <w:tcPr>
            <w:tcW w:w="1361" w:type="dxa"/>
          </w:tcPr>
          <w:p w14:paraId="42027C9B" w14:textId="77777777"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5(2)(d)</w:t>
            </w:r>
          </w:p>
        </w:tc>
        <w:tc>
          <w:tcPr>
            <w:tcW w:w="4730" w:type="dxa"/>
          </w:tcPr>
          <w:p w14:paraId="74730E89"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Compulsory courses, whose credits are obligatory for registration for the following semester/study year, regardless of the total number of ECTS credit points received by a student</w:t>
            </w:r>
          </w:p>
        </w:tc>
        <w:tc>
          <w:tcPr>
            <w:tcW w:w="7903" w:type="dxa"/>
          </w:tcPr>
          <w:p w14:paraId="0CB5D7D6" w14:textId="11F734FE" w:rsidR="00AA2F14" w:rsidRPr="00B41854" w:rsidRDefault="00AA2F14" w:rsidP="00AA2F14">
            <w:pPr>
              <w:rPr>
                <w:rFonts w:ascii="Times New Roman" w:hAnsi="Times New Roman" w:cs="Times New Roman"/>
                <w:b/>
                <w:color w:val="000000" w:themeColor="text1"/>
                <w:sz w:val="20"/>
                <w:szCs w:val="20"/>
              </w:rPr>
            </w:pPr>
            <w:r>
              <w:rPr>
                <w:rFonts w:ascii="Times New Roman" w:hAnsi="Times New Roman"/>
                <w:b/>
                <w:color w:val="000000" w:themeColor="text1"/>
                <w:sz w:val="20"/>
              </w:rPr>
              <w:t>Compulsory courses, whose credits are obligatory for registration for the following semester regardless of the total number of ECTS credit points received by a student:</w:t>
            </w:r>
          </w:p>
          <w:p w14:paraId="3725F593" w14:textId="2CA29668" w:rsidR="00AA2F14" w:rsidRPr="004F6DDD" w:rsidRDefault="00AA2F14" w:rsidP="00AA2F14">
            <w:pPr>
              <w:rPr>
                <w:rFonts w:ascii="Times New Roman" w:hAnsi="Times New Roman" w:cs="Times New Roman"/>
                <w:b/>
                <w:color w:val="000000" w:themeColor="text1"/>
                <w:sz w:val="20"/>
                <w:szCs w:val="20"/>
              </w:rPr>
            </w:pPr>
            <w:r>
              <w:rPr>
                <w:rFonts w:ascii="Times New Roman" w:hAnsi="Times New Roman"/>
                <w:b/>
                <w:color w:val="000000" w:themeColor="text1"/>
                <w:sz w:val="20"/>
              </w:rPr>
              <w:t>On the first</w:t>
            </w:r>
            <w:r w:rsidR="00F91870">
              <w:rPr>
                <w:rFonts w:ascii="Times New Roman" w:hAnsi="Times New Roman"/>
                <w:b/>
                <w:color w:val="000000" w:themeColor="text1"/>
                <w:sz w:val="20"/>
              </w:rPr>
              <w:t>-</w:t>
            </w:r>
            <w:r>
              <w:rPr>
                <w:rFonts w:ascii="Times New Roman" w:hAnsi="Times New Roman"/>
                <w:b/>
                <w:color w:val="000000" w:themeColor="text1"/>
                <w:sz w:val="20"/>
              </w:rPr>
              <w:t xml:space="preserve">cycle </w:t>
            </w:r>
            <w:r w:rsidR="00F91870">
              <w:rPr>
                <w:rFonts w:ascii="Times New Roman" w:hAnsi="Times New Roman"/>
                <w:b/>
                <w:color w:val="000000" w:themeColor="text1"/>
                <w:sz w:val="20"/>
              </w:rPr>
              <w:t xml:space="preserve">studies </w:t>
            </w:r>
            <w:r>
              <w:rPr>
                <w:rFonts w:ascii="Times New Roman" w:hAnsi="Times New Roman"/>
                <w:b/>
                <w:color w:val="000000" w:themeColor="text1"/>
                <w:sz w:val="20"/>
              </w:rPr>
              <w:t>of the International Relations:</w:t>
            </w:r>
          </w:p>
          <w:p w14:paraId="464AD128" w14:textId="77777777" w:rsidR="00AA2F14" w:rsidRPr="004F6DDD" w:rsidRDefault="00AA2F14" w:rsidP="00AA2F14">
            <w:pPr>
              <w:rPr>
                <w:rFonts w:ascii="Times New Roman" w:hAnsi="Times New Roman" w:cs="Times New Roman"/>
                <w:color w:val="000000" w:themeColor="text1"/>
                <w:sz w:val="20"/>
                <w:szCs w:val="20"/>
              </w:rPr>
            </w:pPr>
            <w:r>
              <w:rPr>
                <w:rFonts w:ascii="Times New Roman" w:hAnsi="Times New Roman"/>
                <w:color w:val="000000" w:themeColor="text1"/>
                <w:sz w:val="20"/>
              </w:rPr>
              <w:t>- Introduction to international relations</w:t>
            </w:r>
          </w:p>
          <w:p w14:paraId="3F46D3AF" w14:textId="77777777" w:rsidR="00AA2F14" w:rsidRPr="004F6DDD" w:rsidRDefault="00AA2F14" w:rsidP="00AA2F14">
            <w:pPr>
              <w:rPr>
                <w:rFonts w:ascii="Times New Roman" w:hAnsi="Times New Roman" w:cs="Times New Roman"/>
                <w:color w:val="000000" w:themeColor="text1"/>
                <w:sz w:val="20"/>
                <w:szCs w:val="20"/>
              </w:rPr>
            </w:pPr>
            <w:r>
              <w:rPr>
                <w:rFonts w:ascii="Times New Roman" w:hAnsi="Times New Roman"/>
                <w:color w:val="000000" w:themeColor="text1"/>
                <w:sz w:val="20"/>
              </w:rPr>
              <w:t>- History of international relations</w:t>
            </w:r>
          </w:p>
          <w:p w14:paraId="1B33A67C" w14:textId="3394CFEC" w:rsidR="00AA2F14" w:rsidRPr="004F6DDD" w:rsidRDefault="00AA2F14" w:rsidP="00AA2F14">
            <w:pPr>
              <w:rPr>
                <w:rFonts w:ascii="Times New Roman" w:hAnsi="Times New Roman" w:cs="Times New Roman"/>
                <w:b/>
                <w:color w:val="000000" w:themeColor="text1"/>
                <w:sz w:val="20"/>
                <w:szCs w:val="20"/>
              </w:rPr>
            </w:pPr>
            <w:r>
              <w:rPr>
                <w:rFonts w:ascii="Times New Roman" w:hAnsi="Times New Roman"/>
                <w:b/>
                <w:color w:val="000000" w:themeColor="text1"/>
                <w:sz w:val="20"/>
              </w:rPr>
              <w:t>On the second</w:t>
            </w:r>
            <w:r w:rsidR="00F91870">
              <w:rPr>
                <w:rFonts w:ascii="Times New Roman" w:hAnsi="Times New Roman"/>
                <w:b/>
                <w:color w:val="000000" w:themeColor="text1"/>
                <w:sz w:val="20"/>
              </w:rPr>
              <w:t>-c</w:t>
            </w:r>
            <w:r>
              <w:rPr>
                <w:rFonts w:ascii="Times New Roman" w:hAnsi="Times New Roman"/>
                <w:b/>
                <w:color w:val="000000" w:themeColor="text1"/>
                <w:sz w:val="20"/>
              </w:rPr>
              <w:t>ycle</w:t>
            </w:r>
            <w:r w:rsidR="00F91870">
              <w:rPr>
                <w:rFonts w:ascii="Times New Roman" w:hAnsi="Times New Roman"/>
                <w:b/>
                <w:color w:val="000000" w:themeColor="text1"/>
                <w:sz w:val="20"/>
              </w:rPr>
              <w:t xml:space="preserve"> studies</w:t>
            </w:r>
            <w:r>
              <w:rPr>
                <w:rFonts w:ascii="Times New Roman" w:hAnsi="Times New Roman"/>
                <w:b/>
                <w:color w:val="000000" w:themeColor="text1"/>
                <w:sz w:val="20"/>
              </w:rPr>
              <w:t xml:space="preserve"> of the International Relation</w:t>
            </w:r>
            <w:r w:rsidR="00F91870">
              <w:rPr>
                <w:rFonts w:ascii="Times New Roman" w:hAnsi="Times New Roman"/>
                <w:b/>
                <w:color w:val="000000" w:themeColor="text1"/>
                <w:sz w:val="20"/>
              </w:rPr>
              <w:t>s</w:t>
            </w:r>
            <w:r>
              <w:rPr>
                <w:rFonts w:ascii="Times New Roman" w:hAnsi="Times New Roman"/>
                <w:b/>
                <w:color w:val="000000" w:themeColor="text1"/>
                <w:sz w:val="20"/>
              </w:rPr>
              <w:t>:</w:t>
            </w:r>
          </w:p>
          <w:p w14:paraId="2786A895" w14:textId="77777777" w:rsidR="00AA2F14" w:rsidRPr="004F6DDD" w:rsidRDefault="00AA2F14" w:rsidP="00AA2F14">
            <w:pPr>
              <w:rPr>
                <w:rFonts w:ascii="Times New Roman" w:hAnsi="Times New Roman" w:cs="Times New Roman"/>
                <w:color w:val="000000" w:themeColor="text1"/>
                <w:sz w:val="20"/>
                <w:szCs w:val="20"/>
              </w:rPr>
            </w:pPr>
            <w:r>
              <w:rPr>
                <w:rFonts w:ascii="Times New Roman" w:hAnsi="Times New Roman"/>
                <w:color w:val="000000" w:themeColor="text1"/>
                <w:sz w:val="20"/>
              </w:rPr>
              <w:t>- Theory of International Relations</w:t>
            </w:r>
          </w:p>
          <w:p w14:paraId="111250A5" w14:textId="77777777" w:rsidR="00AA2F14" w:rsidRPr="004F6DDD" w:rsidRDefault="00AA2F14" w:rsidP="00AA2F14">
            <w:pPr>
              <w:rPr>
                <w:rFonts w:ascii="Times New Roman" w:hAnsi="Times New Roman" w:cs="Times New Roman"/>
                <w:color w:val="000000" w:themeColor="text1"/>
                <w:sz w:val="20"/>
                <w:szCs w:val="20"/>
              </w:rPr>
            </w:pPr>
            <w:r>
              <w:rPr>
                <w:rFonts w:ascii="Times New Roman" w:hAnsi="Times New Roman"/>
                <w:color w:val="000000" w:themeColor="text1"/>
                <w:sz w:val="20"/>
              </w:rPr>
              <w:t>- Methodology of social sciences and humanities</w:t>
            </w:r>
          </w:p>
          <w:p w14:paraId="77E559BB" w14:textId="7CACB7B7" w:rsidR="00AA2F14" w:rsidRPr="004F6DDD" w:rsidRDefault="00AA2F14" w:rsidP="00AA2F14">
            <w:pPr>
              <w:rPr>
                <w:rFonts w:ascii="Times New Roman" w:hAnsi="Times New Roman" w:cs="Times New Roman"/>
                <w:b/>
                <w:color w:val="000000" w:themeColor="text1"/>
                <w:sz w:val="20"/>
                <w:szCs w:val="20"/>
              </w:rPr>
            </w:pPr>
            <w:r>
              <w:rPr>
                <w:rFonts w:ascii="Times New Roman" w:hAnsi="Times New Roman"/>
                <w:b/>
                <w:color w:val="000000" w:themeColor="text1"/>
                <w:sz w:val="20"/>
              </w:rPr>
              <w:t>On the first</w:t>
            </w:r>
            <w:r w:rsidR="00F91870">
              <w:rPr>
                <w:rFonts w:ascii="Times New Roman" w:hAnsi="Times New Roman"/>
                <w:b/>
                <w:color w:val="000000" w:themeColor="text1"/>
                <w:sz w:val="20"/>
              </w:rPr>
              <w:t>-</w:t>
            </w:r>
            <w:r>
              <w:rPr>
                <w:rFonts w:ascii="Times New Roman" w:hAnsi="Times New Roman"/>
                <w:b/>
                <w:color w:val="000000" w:themeColor="text1"/>
                <w:sz w:val="20"/>
              </w:rPr>
              <w:t>cycle</w:t>
            </w:r>
            <w:r w:rsidR="00F91870">
              <w:rPr>
                <w:rFonts w:ascii="Times New Roman" w:hAnsi="Times New Roman"/>
                <w:b/>
                <w:color w:val="000000" w:themeColor="text1"/>
                <w:sz w:val="20"/>
              </w:rPr>
              <w:t xml:space="preserve"> studies</w:t>
            </w:r>
            <w:r>
              <w:rPr>
                <w:rFonts w:ascii="Times New Roman" w:hAnsi="Times New Roman"/>
                <w:b/>
                <w:color w:val="000000" w:themeColor="text1"/>
                <w:sz w:val="20"/>
              </w:rPr>
              <w:t xml:space="preserve"> of the Domestic Security:</w:t>
            </w:r>
          </w:p>
          <w:p w14:paraId="34B05D3C" w14:textId="77777777" w:rsidR="00AA2F14" w:rsidRPr="004F6DDD" w:rsidRDefault="00AA2F14" w:rsidP="00AA2F14">
            <w:pPr>
              <w:rPr>
                <w:rFonts w:ascii="Times New Roman" w:hAnsi="Times New Roman" w:cs="Times New Roman"/>
                <w:color w:val="000000" w:themeColor="text1"/>
                <w:sz w:val="20"/>
                <w:szCs w:val="20"/>
              </w:rPr>
            </w:pPr>
            <w:r>
              <w:rPr>
                <w:rFonts w:ascii="Times New Roman" w:hAnsi="Times New Roman"/>
                <w:color w:val="000000" w:themeColor="text1"/>
                <w:sz w:val="20"/>
              </w:rPr>
              <w:t>- Foreign and security policy of selected states</w:t>
            </w:r>
          </w:p>
          <w:p w14:paraId="6CF59BD7" w14:textId="77777777" w:rsidR="00AA2F14" w:rsidRPr="004F6DDD" w:rsidRDefault="00AA2F14" w:rsidP="00AA2F14">
            <w:pPr>
              <w:rPr>
                <w:rFonts w:ascii="Times New Roman" w:hAnsi="Times New Roman" w:cs="Times New Roman"/>
                <w:color w:val="000000" w:themeColor="text1"/>
                <w:sz w:val="20"/>
                <w:szCs w:val="20"/>
              </w:rPr>
            </w:pPr>
            <w:r>
              <w:rPr>
                <w:rFonts w:ascii="Times New Roman" w:hAnsi="Times New Roman"/>
                <w:color w:val="000000" w:themeColor="text1"/>
                <w:sz w:val="20"/>
              </w:rPr>
              <w:t>- International military relations</w:t>
            </w:r>
          </w:p>
          <w:p w14:paraId="2568672A" w14:textId="77777777" w:rsidR="00AA2F14" w:rsidRPr="004F6DDD" w:rsidRDefault="00AA2F14" w:rsidP="00AA2F14">
            <w:pPr>
              <w:rPr>
                <w:rFonts w:ascii="Times New Roman" w:hAnsi="Times New Roman" w:cs="Times New Roman"/>
                <w:color w:val="000000" w:themeColor="text1"/>
                <w:sz w:val="20"/>
                <w:szCs w:val="20"/>
              </w:rPr>
            </w:pPr>
            <w:r>
              <w:rPr>
                <w:rFonts w:ascii="Times New Roman" w:hAnsi="Times New Roman"/>
                <w:color w:val="000000" w:themeColor="text1"/>
                <w:sz w:val="20"/>
              </w:rPr>
              <w:t>- International political relations</w:t>
            </w:r>
          </w:p>
          <w:p w14:paraId="314A8B01" w14:textId="272A52E5" w:rsidR="00AA2F14" w:rsidRPr="004F6DDD" w:rsidRDefault="00AA2F14" w:rsidP="00AA2F14">
            <w:pPr>
              <w:rPr>
                <w:rFonts w:ascii="Times New Roman" w:hAnsi="Times New Roman" w:cs="Times New Roman"/>
                <w:b/>
                <w:color w:val="000000" w:themeColor="text1"/>
                <w:sz w:val="20"/>
                <w:szCs w:val="20"/>
              </w:rPr>
            </w:pPr>
            <w:r>
              <w:rPr>
                <w:rFonts w:ascii="Times New Roman" w:hAnsi="Times New Roman"/>
                <w:b/>
                <w:color w:val="000000" w:themeColor="text1"/>
                <w:sz w:val="20"/>
              </w:rPr>
              <w:t>On the first</w:t>
            </w:r>
            <w:r w:rsidR="00F91870">
              <w:rPr>
                <w:rFonts w:ascii="Times New Roman" w:hAnsi="Times New Roman"/>
                <w:b/>
                <w:color w:val="000000" w:themeColor="text1"/>
                <w:sz w:val="20"/>
              </w:rPr>
              <w:t>-</w:t>
            </w:r>
            <w:r>
              <w:rPr>
                <w:rFonts w:ascii="Times New Roman" w:hAnsi="Times New Roman"/>
                <w:b/>
                <w:color w:val="000000" w:themeColor="text1"/>
                <w:sz w:val="20"/>
              </w:rPr>
              <w:t>cycle</w:t>
            </w:r>
            <w:r w:rsidR="00F91870">
              <w:rPr>
                <w:rFonts w:ascii="Times New Roman" w:hAnsi="Times New Roman"/>
                <w:b/>
                <w:color w:val="000000" w:themeColor="text1"/>
                <w:sz w:val="20"/>
              </w:rPr>
              <w:t xml:space="preserve"> </w:t>
            </w:r>
            <w:r w:rsidR="00520A97">
              <w:rPr>
                <w:rFonts w:ascii="Times New Roman" w:hAnsi="Times New Roman"/>
                <w:b/>
                <w:color w:val="000000" w:themeColor="text1"/>
                <w:sz w:val="20"/>
              </w:rPr>
              <w:t>studies o</w:t>
            </w:r>
            <w:r>
              <w:rPr>
                <w:rFonts w:ascii="Times New Roman" w:hAnsi="Times New Roman"/>
                <w:b/>
                <w:color w:val="000000" w:themeColor="text1"/>
                <w:sz w:val="20"/>
              </w:rPr>
              <w:t>f the Political Studies:</w:t>
            </w:r>
          </w:p>
          <w:p w14:paraId="13C3698D" w14:textId="77777777" w:rsidR="00AA2F14" w:rsidRPr="004F6DDD" w:rsidRDefault="00AA2F14" w:rsidP="00AA2F14">
            <w:pPr>
              <w:rPr>
                <w:rFonts w:ascii="Times New Roman" w:hAnsi="Times New Roman" w:cs="Times New Roman"/>
                <w:color w:val="000000" w:themeColor="text1"/>
                <w:sz w:val="20"/>
                <w:szCs w:val="20"/>
              </w:rPr>
            </w:pPr>
            <w:r>
              <w:rPr>
                <w:rFonts w:ascii="Times New Roman" w:hAnsi="Times New Roman"/>
                <w:color w:val="000000" w:themeColor="text1"/>
                <w:sz w:val="20"/>
              </w:rPr>
              <w:t>- Modern political systems</w:t>
            </w:r>
          </w:p>
          <w:p w14:paraId="4AB504F0" w14:textId="77777777" w:rsidR="00AA2F14" w:rsidRPr="004F6DDD" w:rsidRDefault="00AA2F14" w:rsidP="00AA2F14">
            <w:pPr>
              <w:rPr>
                <w:rFonts w:ascii="Times New Roman" w:hAnsi="Times New Roman" w:cs="Times New Roman"/>
                <w:color w:val="000000" w:themeColor="text1"/>
                <w:sz w:val="20"/>
                <w:szCs w:val="20"/>
              </w:rPr>
            </w:pPr>
            <w:r>
              <w:rPr>
                <w:rFonts w:ascii="Times New Roman" w:hAnsi="Times New Roman"/>
                <w:color w:val="000000" w:themeColor="text1"/>
                <w:sz w:val="20"/>
              </w:rPr>
              <w:t>- Political parties and party systems</w:t>
            </w:r>
          </w:p>
          <w:p w14:paraId="1D8B464D" w14:textId="77777777" w:rsidR="00AA2F14" w:rsidRPr="004F6DDD" w:rsidRDefault="00AA2F14" w:rsidP="00AA2F14">
            <w:pPr>
              <w:rPr>
                <w:rFonts w:ascii="Times New Roman" w:hAnsi="Times New Roman" w:cs="Times New Roman"/>
                <w:color w:val="000000" w:themeColor="text1"/>
                <w:sz w:val="20"/>
                <w:szCs w:val="20"/>
              </w:rPr>
            </w:pPr>
            <w:r>
              <w:rPr>
                <w:rFonts w:ascii="Times New Roman" w:hAnsi="Times New Roman"/>
                <w:color w:val="000000" w:themeColor="text1"/>
                <w:sz w:val="20"/>
              </w:rPr>
              <w:t>- Common political thought</w:t>
            </w:r>
          </w:p>
          <w:p w14:paraId="0314CD05" w14:textId="77777777" w:rsidR="00AA2F14" w:rsidRPr="004F6DDD" w:rsidRDefault="00AA2F14" w:rsidP="00AA2F14">
            <w:pPr>
              <w:rPr>
                <w:rFonts w:ascii="Times New Roman" w:hAnsi="Times New Roman" w:cs="Times New Roman"/>
                <w:color w:val="000000" w:themeColor="text1"/>
                <w:sz w:val="20"/>
                <w:szCs w:val="20"/>
              </w:rPr>
            </w:pPr>
            <w:r>
              <w:rPr>
                <w:rFonts w:ascii="Times New Roman" w:hAnsi="Times New Roman"/>
                <w:color w:val="000000" w:themeColor="text1"/>
                <w:sz w:val="20"/>
              </w:rPr>
              <w:t>- Introduction to political sciences</w:t>
            </w:r>
          </w:p>
          <w:p w14:paraId="5009F283" w14:textId="08992219" w:rsidR="00AA2F14" w:rsidRPr="004F6DDD" w:rsidRDefault="00AA2F14" w:rsidP="00AA2F14">
            <w:pPr>
              <w:rPr>
                <w:rFonts w:ascii="Times New Roman" w:hAnsi="Times New Roman" w:cs="Times New Roman"/>
                <w:b/>
                <w:color w:val="000000" w:themeColor="text1"/>
                <w:sz w:val="20"/>
                <w:szCs w:val="20"/>
              </w:rPr>
            </w:pPr>
            <w:r>
              <w:rPr>
                <w:rFonts w:ascii="Times New Roman" w:hAnsi="Times New Roman"/>
                <w:b/>
                <w:color w:val="000000" w:themeColor="text1"/>
                <w:sz w:val="20"/>
              </w:rPr>
              <w:t>On the second</w:t>
            </w:r>
            <w:r w:rsidR="00520A97">
              <w:rPr>
                <w:rFonts w:ascii="Times New Roman" w:hAnsi="Times New Roman"/>
                <w:b/>
                <w:color w:val="000000" w:themeColor="text1"/>
                <w:sz w:val="20"/>
              </w:rPr>
              <w:t>-</w:t>
            </w:r>
            <w:r>
              <w:rPr>
                <w:rFonts w:ascii="Times New Roman" w:hAnsi="Times New Roman"/>
                <w:b/>
                <w:color w:val="000000" w:themeColor="text1"/>
                <w:sz w:val="20"/>
              </w:rPr>
              <w:t>cycle</w:t>
            </w:r>
            <w:r w:rsidR="00520A97">
              <w:rPr>
                <w:rFonts w:ascii="Times New Roman" w:hAnsi="Times New Roman"/>
                <w:b/>
                <w:color w:val="000000" w:themeColor="text1"/>
                <w:sz w:val="20"/>
              </w:rPr>
              <w:t xml:space="preserve"> studies</w:t>
            </w:r>
            <w:r>
              <w:rPr>
                <w:rFonts w:ascii="Times New Roman" w:hAnsi="Times New Roman"/>
                <w:b/>
                <w:color w:val="000000" w:themeColor="text1"/>
                <w:sz w:val="20"/>
              </w:rPr>
              <w:t xml:space="preserve"> of the Political Studies:</w:t>
            </w:r>
          </w:p>
          <w:p w14:paraId="28A96030" w14:textId="77777777" w:rsidR="00AA2F14" w:rsidRPr="004F6DDD" w:rsidRDefault="00AA2F14" w:rsidP="00AA2F14">
            <w:pPr>
              <w:rPr>
                <w:rFonts w:ascii="Times New Roman" w:hAnsi="Times New Roman" w:cs="Times New Roman"/>
                <w:color w:val="000000" w:themeColor="text1"/>
                <w:sz w:val="20"/>
                <w:szCs w:val="20"/>
              </w:rPr>
            </w:pPr>
            <w:r>
              <w:rPr>
                <w:rFonts w:ascii="Times New Roman" w:hAnsi="Times New Roman"/>
                <w:color w:val="000000" w:themeColor="text1"/>
                <w:sz w:val="20"/>
              </w:rPr>
              <w:t>- Political systems in regions of the world</w:t>
            </w:r>
          </w:p>
          <w:p w14:paraId="30542320" w14:textId="77777777" w:rsidR="005E1FD1" w:rsidRPr="004F6DDD" w:rsidRDefault="00AA2F14" w:rsidP="00AA2F14">
            <w:pPr>
              <w:rPr>
                <w:rFonts w:ascii="Times New Roman" w:hAnsi="Times New Roman" w:cs="Times New Roman"/>
                <w:color w:val="000000" w:themeColor="text1"/>
                <w:sz w:val="20"/>
                <w:szCs w:val="20"/>
              </w:rPr>
            </w:pPr>
            <w:r>
              <w:rPr>
                <w:rFonts w:ascii="Times New Roman" w:hAnsi="Times New Roman"/>
                <w:color w:val="000000" w:themeColor="text1"/>
                <w:sz w:val="20"/>
              </w:rPr>
              <w:t>- Elections and political participation</w:t>
            </w:r>
          </w:p>
          <w:p w14:paraId="0AB201B4" w14:textId="09C598CF" w:rsidR="001A5C08" w:rsidRPr="004F6DDD" w:rsidRDefault="001A5C08" w:rsidP="001A5C08">
            <w:pPr>
              <w:rPr>
                <w:rFonts w:ascii="Times New Roman" w:hAnsi="Times New Roman" w:cs="Times New Roman"/>
                <w:b/>
                <w:color w:val="000000" w:themeColor="text1"/>
                <w:sz w:val="20"/>
                <w:szCs w:val="20"/>
              </w:rPr>
            </w:pPr>
            <w:r>
              <w:rPr>
                <w:rFonts w:ascii="Times New Roman" w:hAnsi="Times New Roman"/>
                <w:b/>
                <w:color w:val="000000" w:themeColor="text1"/>
                <w:sz w:val="20"/>
              </w:rPr>
              <w:t>On the first</w:t>
            </w:r>
            <w:r w:rsidR="00520A97">
              <w:rPr>
                <w:rFonts w:ascii="Times New Roman" w:hAnsi="Times New Roman"/>
                <w:b/>
                <w:color w:val="000000" w:themeColor="text1"/>
                <w:sz w:val="20"/>
              </w:rPr>
              <w:t>-</w:t>
            </w:r>
            <w:r>
              <w:rPr>
                <w:rFonts w:ascii="Times New Roman" w:hAnsi="Times New Roman"/>
                <w:b/>
                <w:color w:val="000000" w:themeColor="text1"/>
                <w:sz w:val="20"/>
              </w:rPr>
              <w:t>cycle</w:t>
            </w:r>
            <w:r w:rsidR="00520A97">
              <w:rPr>
                <w:rFonts w:ascii="Times New Roman" w:hAnsi="Times New Roman"/>
                <w:b/>
                <w:color w:val="000000" w:themeColor="text1"/>
                <w:sz w:val="20"/>
              </w:rPr>
              <w:t xml:space="preserve"> studies</w:t>
            </w:r>
            <w:r>
              <w:rPr>
                <w:rFonts w:ascii="Times New Roman" w:hAnsi="Times New Roman"/>
                <w:b/>
                <w:color w:val="000000" w:themeColor="text1"/>
                <w:sz w:val="20"/>
              </w:rPr>
              <w:t xml:space="preserve"> of the International Cultural Studies:</w:t>
            </w:r>
          </w:p>
          <w:p w14:paraId="69F80931" w14:textId="77777777" w:rsidR="001A5C08" w:rsidRPr="004F6DDD" w:rsidRDefault="001A5C08" w:rsidP="001A5C08">
            <w:pPr>
              <w:rPr>
                <w:rFonts w:ascii="Times New Roman" w:hAnsi="Times New Roman" w:cs="Times New Roman"/>
                <w:color w:val="000000" w:themeColor="text1"/>
                <w:sz w:val="20"/>
                <w:szCs w:val="20"/>
              </w:rPr>
            </w:pPr>
            <w:r>
              <w:rPr>
                <w:rFonts w:ascii="Times New Roman" w:hAnsi="Times New Roman"/>
                <w:color w:val="000000" w:themeColor="text1"/>
                <w:sz w:val="20"/>
              </w:rPr>
              <w:t>- International cultural relations</w:t>
            </w:r>
          </w:p>
          <w:p w14:paraId="6B857C7B" w14:textId="77777777" w:rsidR="001A5C08" w:rsidRPr="004F6DDD" w:rsidRDefault="001A5C08" w:rsidP="001A5C08">
            <w:pPr>
              <w:rPr>
                <w:rFonts w:ascii="Times New Roman" w:hAnsi="Times New Roman" w:cs="Times New Roman"/>
                <w:color w:val="000000" w:themeColor="text1"/>
                <w:sz w:val="20"/>
                <w:szCs w:val="20"/>
              </w:rPr>
            </w:pPr>
            <w:r>
              <w:rPr>
                <w:rFonts w:ascii="Times New Roman" w:hAnsi="Times New Roman"/>
                <w:color w:val="000000" w:themeColor="text1"/>
                <w:sz w:val="20"/>
              </w:rPr>
              <w:t>- Knowledge of theatre around the world</w:t>
            </w:r>
          </w:p>
          <w:p w14:paraId="7B057929" w14:textId="77777777" w:rsidR="001A5C08" w:rsidRPr="004F6DDD" w:rsidRDefault="001A5C08" w:rsidP="001A5C08">
            <w:pPr>
              <w:rPr>
                <w:rFonts w:ascii="Times New Roman" w:hAnsi="Times New Roman" w:cs="Times New Roman"/>
                <w:color w:val="000000" w:themeColor="text1"/>
                <w:sz w:val="20"/>
                <w:szCs w:val="20"/>
              </w:rPr>
            </w:pPr>
            <w:r>
              <w:rPr>
                <w:rFonts w:ascii="Times New Roman" w:hAnsi="Times New Roman"/>
                <w:color w:val="000000" w:themeColor="text1"/>
                <w:sz w:val="20"/>
              </w:rPr>
              <w:t>- Common literature</w:t>
            </w:r>
          </w:p>
          <w:p w14:paraId="1C060B1D" w14:textId="77777777" w:rsidR="001A5C08" w:rsidRPr="004F6DDD" w:rsidRDefault="001A5C08" w:rsidP="001A5C08">
            <w:pPr>
              <w:rPr>
                <w:rFonts w:ascii="Times New Roman" w:hAnsi="Times New Roman" w:cs="Times New Roman"/>
                <w:color w:val="000000" w:themeColor="text1"/>
                <w:sz w:val="20"/>
                <w:szCs w:val="20"/>
              </w:rPr>
            </w:pPr>
            <w:r>
              <w:rPr>
                <w:rFonts w:ascii="Times New Roman" w:hAnsi="Times New Roman"/>
                <w:color w:val="000000" w:themeColor="text1"/>
                <w:sz w:val="20"/>
              </w:rPr>
              <w:t>- Modern global cinematography</w:t>
            </w:r>
          </w:p>
          <w:p w14:paraId="2EE51CB2" w14:textId="2267910A" w:rsidR="001A5C08" w:rsidRPr="004F6DDD" w:rsidRDefault="001A5C08" w:rsidP="001A5C08">
            <w:pPr>
              <w:rPr>
                <w:rFonts w:ascii="Times New Roman" w:hAnsi="Times New Roman" w:cs="Times New Roman"/>
                <w:b/>
                <w:color w:val="000000" w:themeColor="text1"/>
                <w:sz w:val="20"/>
                <w:szCs w:val="20"/>
              </w:rPr>
            </w:pPr>
            <w:r>
              <w:rPr>
                <w:rFonts w:ascii="Times New Roman" w:hAnsi="Times New Roman"/>
                <w:b/>
                <w:color w:val="000000" w:themeColor="text1"/>
                <w:sz w:val="20"/>
              </w:rPr>
              <w:t>On the first</w:t>
            </w:r>
            <w:r w:rsidR="00520A97">
              <w:rPr>
                <w:rFonts w:ascii="Times New Roman" w:hAnsi="Times New Roman"/>
                <w:b/>
                <w:color w:val="000000" w:themeColor="text1"/>
                <w:sz w:val="20"/>
              </w:rPr>
              <w:t>-</w:t>
            </w:r>
            <w:r>
              <w:rPr>
                <w:rFonts w:ascii="Times New Roman" w:hAnsi="Times New Roman"/>
                <w:b/>
                <w:color w:val="000000" w:themeColor="text1"/>
                <w:sz w:val="20"/>
              </w:rPr>
              <w:t>cycle</w:t>
            </w:r>
            <w:r w:rsidR="00520A97">
              <w:rPr>
                <w:rFonts w:ascii="Times New Roman" w:hAnsi="Times New Roman"/>
                <w:b/>
                <w:color w:val="000000" w:themeColor="text1"/>
                <w:sz w:val="20"/>
              </w:rPr>
              <w:t xml:space="preserve"> studies</w:t>
            </w:r>
            <w:r>
              <w:rPr>
                <w:rFonts w:ascii="Times New Roman" w:hAnsi="Times New Roman"/>
                <w:b/>
                <w:color w:val="000000" w:themeColor="text1"/>
                <w:sz w:val="20"/>
              </w:rPr>
              <w:t xml:space="preserve"> of the International and Political Studies:</w:t>
            </w:r>
          </w:p>
          <w:p w14:paraId="268AA53E" w14:textId="77777777" w:rsidR="001A5C08" w:rsidRPr="004F6DDD" w:rsidRDefault="001A5C08" w:rsidP="001A5C08">
            <w:pPr>
              <w:rPr>
                <w:rFonts w:ascii="Times New Roman" w:hAnsi="Times New Roman" w:cs="Times New Roman"/>
                <w:color w:val="000000" w:themeColor="text1"/>
                <w:sz w:val="20"/>
                <w:szCs w:val="20"/>
              </w:rPr>
            </w:pPr>
            <w:r>
              <w:rPr>
                <w:rFonts w:ascii="Times New Roman" w:hAnsi="Times New Roman"/>
                <w:color w:val="000000" w:themeColor="text1"/>
                <w:sz w:val="20"/>
              </w:rPr>
              <w:t>- Ideologies, political doctrines &amp; decision-making</w:t>
            </w:r>
          </w:p>
          <w:p w14:paraId="2FF2076D" w14:textId="77777777" w:rsidR="001A5C08" w:rsidRPr="004F6DDD" w:rsidRDefault="001A5C08" w:rsidP="001A5C08">
            <w:pPr>
              <w:rPr>
                <w:rFonts w:ascii="Times New Roman" w:hAnsi="Times New Roman" w:cs="Times New Roman"/>
                <w:color w:val="000000" w:themeColor="text1"/>
                <w:sz w:val="20"/>
                <w:szCs w:val="20"/>
              </w:rPr>
            </w:pPr>
            <w:r>
              <w:rPr>
                <w:rFonts w:ascii="Times New Roman" w:hAnsi="Times New Roman"/>
                <w:color w:val="000000" w:themeColor="text1"/>
                <w:sz w:val="20"/>
              </w:rPr>
              <w:t>- Conflict, cooperation &amp; security in politics</w:t>
            </w:r>
          </w:p>
          <w:p w14:paraId="7313BA82" w14:textId="11622F4C" w:rsidR="001A5C08" w:rsidRPr="004F6DDD" w:rsidRDefault="001A5C08" w:rsidP="001A5C08">
            <w:pPr>
              <w:rPr>
                <w:rFonts w:ascii="Times New Roman" w:hAnsi="Times New Roman" w:cs="Times New Roman"/>
                <w:color w:val="000000" w:themeColor="text1"/>
                <w:sz w:val="20"/>
                <w:szCs w:val="20"/>
              </w:rPr>
            </w:pPr>
            <w:r>
              <w:rPr>
                <w:rFonts w:ascii="Times New Roman" w:hAnsi="Times New Roman"/>
                <w:color w:val="000000" w:themeColor="text1"/>
                <w:sz w:val="20"/>
              </w:rPr>
              <w:lastRenderedPageBreak/>
              <w:t>- International organi</w:t>
            </w:r>
            <w:r w:rsidR="00F86E28">
              <w:rPr>
                <w:rFonts w:ascii="Times New Roman" w:hAnsi="Times New Roman"/>
                <w:color w:val="000000" w:themeColor="text1"/>
                <w:sz w:val="20"/>
              </w:rPr>
              <w:t>s</w:t>
            </w:r>
            <w:r>
              <w:rPr>
                <w:rFonts w:ascii="Times New Roman" w:hAnsi="Times New Roman"/>
                <w:color w:val="000000" w:themeColor="text1"/>
                <w:sz w:val="20"/>
              </w:rPr>
              <w:t>ations</w:t>
            </w:r>
          </w:p>
          <w:p w14:paraId="56E70C3B" w14:textId="6C9A0335" w:rsidR="001A5C08" w:rsidRPr="004F6DDD" w:rsidRDefault="001A5C08" w:rsidP="001A5C08">
            <w:pPr>
              <w:rPr>
                <w:rFonts w:ascii="Times New Roman" w:hAnsi="Times New Roman" w:cs="Times New Roman"/>
                <w:b/>
                <w:color w:val="000000" w:themeColor="text1"/>
                <w:sz w:val="20"/>
                <w:szCs w:val="20"/>
              </w:rPr>
            </w:pPr>
            <w:r>
              <w:rPr>
                <w:rFonts w:ascii="Times New Roman" w:hAnsi="Times New Roman"/>
                <w:b/>
                <w:color w:val="000000" w:themeColor="text1"/>
                <w:sz w:val="20"/>
              </w:rPr>
              <w:t>On the second</w:t>
            </w:r>
            <w:r w:rsidR="00520A97">
              <w:rPr>
                <w:rFonts w:ascii="Times New Roman" w:hAnsi="Times New Roman"/>
                <w:b/>
                <w:color w:val="000000" w:themeColor="text1"/>
                <w:sz w:val="20"/>
              </w:rPr>
              <w:t>-</w:t>
            </w:r>
            <w:r>
              <w:rPr>
                <w:rFonts w:ascii="Times New Roman" w:hAnsi="Times New Roman"/>
                <w:b/>
                <w:color w:val="000000" w:themeColor="text1"/>
                <w:sz w:val="20"/>
              </w:rPr>
              <w:t>cycle</w:t>
            </w:r>
            <w:r w:rsidR="00520A97">
              <w:rPr>
                <w:rFonts w:ascii="Times New Roman" w:hAnsi="Times New Roman"/>
                <w:b/>
                <w:color w:val="000000" w:themeColor="text1"/>
                <w:sz w:val="20"/>
              </w:rPr>
              <w:t xml:space="preserve"> studies</w:t>
            </w:r>
            <w:r>
              <w:rPr>
                <w:rFonts w:ascii="Times New Roman" w:hAnsi="Times New Roman"/>
                <w:b/>
                <w:color w:val="000000" w:themeColor="text1"/>
                <w:sz w:val="20"/>
              </w:rPr>
              <w:t xml:space="preserve"> of the International and Political Studies:</w:t>
            </w:r>
          </w:p>
          <w:p w14:paraId="78CD08C6" w14:textId="77777777" w:rsidR="001A5C08" w:rsidRPr="004F6DDD" w:rsidRDefault="001A5C08" w:rsidP="001A5C08">
            <w:pPr>
              <w:rPr>
                <w:rFonts w:ascii="Times New Roman" w:hAnsi="Times New Roman" w:cs="Times New Roman"/>
                <w:color w:val="000000" w:themeColor="text1"/>
                <w:sz w:val="20"/>
                <w:szCs w:val="20"/>
              </w:rPr>
            </w:pPr>
            <w:r>
              <w:rPr>
                <w:rFonts w:ascii="Times New Roman" w:hAnsi="Times New Roman"/>
                <w:color w:val="000000" w:themeColor="text1"/>
                <w:sz w:val="20"/>
              </w:rPr>
              <w:t>- Geopolitics and strategy</w:t>
            </w:r>
          </w:p>
          <w:p w14:paraId="6CD68FDC" w14:textId="77777777" w:rsidR="001A5C08" w:rsidRPr="004F6DDD" w:rsidRDefault="001A5C08" w:rsidP="001A5C08">
            <w:pPr>
              <w:rPr>
                <w:rFonts w:ascii="Times New Roman" w:hAnsi="Times New Roman" w:cs="Times New Roman"/>
                <w:color w:val="000000" w:themeColor="text1"/>
                <w:sz w:val="20"/>
                <w:szCs w:val="20"/>
              </w:rPr>
            </w:pPr>
            <w:r>
              <w:rPr>
                <w:rFonts w:ascii="Times New Roman" w:hAnsi="Times New Roman"/>
                <w:color w:val="000000" w:themeColor="text1"/>
                <w:sz w:val="20"/>
              </w:rPr>
              <w:t>- Political elites and pressure groups</w:t>
            </w:r>
          </w:p>
          <w:p w14:paraId="7E59D58B" w14:textId="7C969B6E" w:rsidR="001A5C08" w:rsidRPr="004F6DDD" w:rsidRDefault="001A5C08" w:rsidP="001A5C08">
            <w:pPr>
              <w:rPr>
                <w:rFonts w:ascii="Times New Roman" w:hAnsi="Times New Roman" w:cs="Times New Roman"/>
                <w:b/>
                <w:color w:val="000000" w:themeColor="text1"/>
                <w:sz w:val="20"/>
                <w:szCs w:val="20"/>
              </w:rPr>
            </w:pPr>
            <w:r>
              <w:rPr>
                <w:rFonts w:ascii="Times New Roman" w:hAnsi="Times New Roman"/>
                <w:b/>
                <w:color w:val="000000" w:themeColor="text1"/>
                <w:sz w:val="20"/>
              </w:rPr>
              <w:t>On the first</w:t>
            </w:r>
            <w:r w:rsidR="00520A97">
              <w:rPr>
                <w:rFonts w:ascii="Times New Roman" w:hAnsi="Times New Roman"/>
                <w:b/>
                <w:color w:val="000000" w:themeColor="text1"/>
                <w:sz w:val="20"/>
              </w:rPr>
              <w:t>-</w:t>
            </w:r>
            <w:r>
              <w:rPr>
                <w:rFonts w:ascii="Times New Roman" w:hAnsi="Times New Roman"/>
                <w:b/>
                <w:color w:val="000000" w:themeColor="text1"/>
                <w:sz w:val="20"/>
              </w:rPr>
              <w:t>cycle</w:t>
            </w:r>
            <w:r w:rsidR="00520A97">
              <w:rPr>
                <w:rFonts w:ascii="Times New Roman" w:hAnsi="Times New Roman"/>
                <w:b/>
                <w:color w:val="000000" w:themeColor="text1"/>
                <w:sz w:val="20"/>
              </w:rPr>
              <w:t xml:space="preserve"> studies</w:t>
            </w:r>
            <w:r>
              <w:rPr>
                <w:rFonts w:ascii="Times New Roman" w:hAnsi="Times New Roman"/>
                <w:b/>
                <w:color w:val="000000" w:themeColor="text1"/>
                <w:sz w:val="20"/>
              </w:rPr>
              <w:t xml:space="preserve"> of the International Marketing:</w:t>
            </w:r>
          </w:p>
          <w:p w14:paraId="5762219E" w14:textId="77777777" w:rsidR="001A5C08" w:rsidRPr="004F6DDD" w:rsidRDefault="001A5C08" w:rsidP="001A5C08">
            <w:pPr>
              <w:rPr>
                <w:rFonts w:ascii="Times New Roman" w:hAnsi="Times New Roman" w:cs="Times New Roman"/>
                <w:color w:val="000000" w:themeColor="text1"/>
                <w:sz w:val="20"/>
                <w:szCs w:val="20"/>
              </w:rPr>
            </w:pPr>
            <w:r>
              <w:rPr>
                <w:rFonts w:ascii="Times New Roman" w:hAnsi="Times New Roman"/>
                <w:color w:val="000000" w:themeColor="text1"/>
                <w:sz w:val="20"/>
              </w:rPr>
              <w:t>- Principles of international marketing</w:t>
            </w:r>
          </w:p>
          <w:p w14:paraId="6AB0886E" w14:textId="77777777" w:rsidR="001A5C08" w:rsidRPr="004F6DDD" w:rsidRDefault="001A5C08" w:rsidP="001A5C08">
            <w:pPr>
              <w:rPr>
                <w:rFonts w:ascii="Times New Roman" w:hAnsi="Times New Roman" w:cs="Times New Roman"/>
                <w:color w:val="000000" w:themeColor="text1"/>
                <w:sz w:val="20"/>
                <w:szCs w:val="20"/>
              </w:rPr>
            </w:pPr>
            <w:r>
              <w:rPr>
                <w:rFonts w:ascii="Times New Roman" w:hAnsi="Times New Roman"/>
                <w:color w:val="000000" w:themeColor="text1"/>
                <w:sz w:val="20"/>
              </w:rPr>
              <w:t>- Introduction to international marketing communications</w:t>
            </w:r>
          </w:p>
          <w:p w14:paraId="116EE298" w14:textId="7EBD32D9" w:rsidR="001A5C08" w:rsidRPr="004F6DDD" w:rsidRDefault="001A5C08" w:rsidP="001A5C08">
            <w:pPr>
              <w:rPr>
                <w:rFonts w:ascii="Times New Roman" w:hAnsi="Times New Roman" w:cs="Times New Roman"/>
                <w:color w:val="000000" w:themeColor="text1"/>
                <w:sz w:val="20"/>
                <w:szCs w:val="20"/>
              </w:rPr>
            </w:pPr>
            <w:r>
              <w:rPr>
                <w:rFonts w:ascii="Times New Roman" w:hAnsi="Times New Roman"/>
                <w:color w:val="000000" w:themeColor="text1"/>
                <w:sz w:val="20"/>
              </w:rPr>
              <w:t>- Internet consumer behavio</w:t>
            </w:r>
            <w:r w:rsidR="00F86E28">
              <w:rPr>
                <w:rFonts w:ascii="Times New Roman" w:hAnsi="Times New Roman"/>
                <w:color w:val="000000" w:themeColor="text1"/>
                <w:sz w:val="20"/>
              </w:rPr>
              <w:t>u</w:t>
            </w:r>
            <w:r>
              <w:rPr>
                <w:rFonts w:ascii="Times New Roman" w:hAnsi="Times New Roman"/>
                <w:color w:val="000000" w:themeColor="text1"/>
                <w:sz w:val="20"/>
              </w:rPr>
              <w:t>r</w:t>
            </w:r>
          </w:p>
          <w:p w14:paraId="65F793A5" w14:textId="77777777" w:rsidR="001A5C08" w:rsidRPr="004F6DDD" w:rsidRDefault="001A5C08" w:rsidP="001A5C08">
            <w:pPr>
              <w:rPr>
                <w:rFonts w:ascii="Times New Roman" w:hAnsi="Times New Roman" w:cs="Times New Roman"/>
                <w:color w:val="000000" w:themeColor="text1"/>
                <w:sz w:val="20"/>
                <w:szCs w:val="20"/>
              </w:rPr>
            </w:pPr>
            <w:r>
              <w:rPr>
                <w:rFonts w:ascii="Times New Roman" w:hAnsi="Times New Roman"/>
                <w:color w:val="000000" w:themeColor="text1"/>
                <w:sz w:val="20"/>
              </w:rPr>
              <w:t>- Entrepreneurship and business planning</w:t>
            </w:r>
          </w:p>
          <w:p w14:paraId="65E80425" w14:textId="3150EB94" w:rsidR="001A5C08" w:rsidRPr="004F6DDD" w:rsidRDefault="001A5C08" w:rsidP="001A5C08">
            <w:pPr>
              <w:rPr>
                <w:rFonts w:ascii="Times New Roman" w:hAnsi="Times New Roman" w:cs="Times New Roman"/>
                <w:b/>
                <w:color w:val="000000" w:themeColor="text1"/>
                <w:sz w:val="20"/>
                <w:szCs w:val="20"/>
              </w:rPr>
            </w:pPr>
            <w:r>
              <w:rPr>
                <w:rFonts w:ascii="Times New Roman" w:hAnsi="Times New Roman"/>
                <w:b/>
                <w:color w:val="000000" w:themeColor="text1"/>
                <w:sz w:val="20"/>
              </w:rPr>
              <w:t>On the first</w:t>
            </w:r>
            <w:r w:rsidR="00520A97">
              <w:rPr>
                <w:rFonts w:ascii="Times New Roman" w:hAnsi="Times New Roman"/>
                <w:b/>
                <w:color w:val="000000" w:themeColor="text1"/>
                <w:sz w:val="20"/>
              </w:rPr>
              <w:t>-</w:t>
            </w:r>
            <w:r>
              <w:rPr>
                <w:rFonts w:ascii="Times New Roman" w:hAnsi="Times New Roman"/>
                <w:b/>
                <w:color w:val="000000" w:themeColor="text1"/>
                <w:sz w:val="20"/>
              </w:rPr>
              <w:t>cycle</w:t>
            </w:r>
            <w:r w:rsidR="00520A97">
              <w:rPr>
                <w:rFonts w:ascii="Times New Roman" w:hAnsi="Times New Roman"/>
                <w:b/>
                <w:color w:val="000000" w:themeColor="text1"/>
                <w:sz w:val="20"/>
              </w:rPr>
              <w:t xml:space="preserve"> studies</w:t>
            </w:r>
            <w:r>
              <w:rPr>
                <w:rFonts w:ascii="Times New Roman" w:hAnsi="Times New Roman"/>
                <w:b/>
                <w:color w:val="000000" w:themeColor="text1"/>
                <w:sz w:val="20"/>
              </w:rPr>
              <w:t xml:space="preserve"> of the Asian Studies:</w:t>
            </w:r>
          </w:p>
          <w:p w14:paraId="10F3EC2A" w14:textId="77777777" w:rsidR="001A5C08" w:rsidRPr="0095261C" w:rsidRDefault="001A5C08" w:rsidP="001A5C08">
            <w:pPr>
              <w:rPr>
                <w:rFonts w:ascii="Times New Roman" w:hAnsi="Times New Roman" w:cs="Times New Roman"/>
                <w:color w:val="000000" w:themeColor="text1"/>
                <w:sz w:val="20"/>
                <w:szCs w:val="20"/>
              </w:rPr>
            </w:pPr>
            <w:r>
              <w:rPr>
                <w:rFonts w:ascii="Times New Roman" w:hAnsi="Times New Roman"/>
                <w:color w:val="000000" w:themeColor="text1"/>
                <w:sz w:val="20"/>
              </w:rPr>
              <w:t>- Latest history of Asia, pt. 2</w:t>
            </w:r>
          </w:p>
          <w:p w14:paraId="78B7D03C" w14:textId="77777777" w:rsidR="001A5C08" w:rsidRPr="0095261C" w:rsidRDefault="001A5C08" w:rsidP="001A5C08">
            <w:pPr>
              <w:rPr>
                <w:rFonts w:ascii="Times New Roman" w:hAnsi="Times New Roman" w:cs="Times New Roman"/>
                <w:color w:val="000000" w:themeColor="text1"/>
                <w:sz w:val="20"/>
                <w:szCs w:val="20"/>
              </w:rPr>
            </w:pPr>
            <w:r>
              <w:rPr>
                <w:rFonts w:ascii="Times New Roman" w:hAnsi="Times New Roman"/>
                <w:color w:val="000000" w:themeColor="text1"/>
                <w:sz w:val="20"/>
              </w:rPr>
              <w:t>- Course module: Eastern Asia – Politics</w:t>
            </w:r>
          </w:p>
          <w:p w14:paraId="3EBC8ADA" w14:textId="77777777" w:rsidR="001A5C08" w:rsidRPr="0095261C" w:rsidRDefault="001A5C08" w:rsidP="001A5C08">
            <w:pPr>
              <w:rPr>
                <w:rFonts w:ascii="Times New Roman" w:hAnsi="Times New Roman" w:cs="Times New Roman"/>
                <w:color w:val="000000" w:themeColor="text1"/>
                <w:sz w:val="20"/>
                <w:szCs w:val="20"/>
              </w:rPr>
            </w:pPr>
            <w:r>
              <w:rPr>
                <w:rFonts w:ascii="Times New Roman" w:hAnsi="Times New Roman"/>
                <w:color w:val="000000" w:themeColor="text1"/>
                <w:sz w:val="20"/>
              </w:rPr>
              <w:t>- Course module: The Middle East and Northern Africa – Politics</w:t>
            </w:r>
          </w:p>
          <w:p w14:paraId="7D01A1DD" w14:textId="6227AD2D" w:rsidR="001A5C08" w:rsidRPr="0095261C" w:rsidRDefault="001A5C08" w:rsidP="001A5C08">
            <w:pPr>
              <w:rPr>
                <w:rFonts w:ascii="Times New Roman" w:hAnsi="Times New Roman" w:cs="Times New Roman"/>
                <w:color w:val="000000" w:themeColor="text1"/>
                <w:sz w:val="20"/>
                <w:szCs w:val="20"/>
              </w:rPr>
            </w:pPr>
            <w:r>
              <w:rPr>
                <w:rFonts w:ascii="Times New Roman" w:hAnsi="Times New Roman"/>
                <w:color w:val="000000" w:themeColor="text1"/>
                <w:sz w:val="20"/>
              </w:rPr>
              <w:t>- Course module: Southern and South-East Asia – Politics</w:t>
            </w:r>
          </w:p>
        </w:tc>
      </w:tr>
      <w:tr w:rsidR="005E1FD1" w:rsidRPr="006C51F7" w14:paraId="0F3F2A85" w14:textId="77777777" w:rsidTr="00843ED1">
        <w:tc>
          <w:tcPr>
            <w:tcW w:w="1361" w:type="dxa"/>
          </w:tcPr>
          <w:p w14:paraId="7EF0E7DE" w14:textId="68E3ED20"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lastRenderedPageBreak/>
              <w:t xml:space="preserve">§ </w:t>
            </w:r>
            <w:r>
              <w:rPr>
                <w:rFonts w:ascii="Times New Roman" w:hAnsi="Times New Roman"/>
                <w:b/>
                <w:color w:val="000000"/>
                <w:sz w:val="20"/>
              </w:rPr>
              <w:t>5(2)(e)</w:t>
            </w:r>
          </w:p>
        </w:tc>
        <w:tc>
          <w:tcPr>
            <w:tcW w:w="4730" w:type="dxa"/>
          </w:tcPr>
          <w:p w14:paraId="7AFC1CE4"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Separate, from the one stipulated in Section § 23 of the present Rules, set of rules for transferring students from full-time (standard, daytime) to extramural (evening, weekend) studies, or vice versa, applicable to the entire Faculty, or particular fields of study</w:t>
            </w:r>
          </w:p>
        </w:tc>
        <w:tc>
          <w:tcPr>
            <w:tcW w:w="7903" w:type="dxa"/>
          </w:tcPr>
          <w:p w14:paraId="34ED50BD" w14:textId="7FA072D7" w:rsidR="005E1FD1" w:rsidRPr="006C51F7" w:rsidRDefault="009B6EE7" w:rsidP="00843ED1">
            <w:pPr>
              <w:rPr>
                <w:rFonts w:ascii="Times New Roman" w:hAnsi="Times New Roman" w:cs="Times New Roman"/>
                <w:sz w:val="20"/>
                <w:szCs w:val="20"/>
              </w:rPr>
            </w:pPr>
            <w:r>
              <w:rPr>
                <w:rFonts w:ascii="Times New Roman" w:hAnsi="Times New Roman"/>
                <w:sz w:val="20"/>
              </w:rPr>
              <w:t>None.</w:t>
            </w:r>
          </w:p>
        </w:tc>
      </w:tr>
      <w:tr w:rsidR="005E1FD1" w:rsidRPr="006C51F7" w14:paraId="2A763DF6" w14:textId="77777777" w:rsidTr="00843ED1">
        <w:tc>
          <w:tcPr>
            <w:tcW w:w="1361" w:type="dxa"/>
          </w:tcPr>
          <w:p w14:paraId="054EEB37" w14:textId="04525D21"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5(2)(f)</w:t>
            </w:r>
          </w:p>
        </w:tc>
        <w:tc>
          <w:tcPr>
            <w:tcW w:w="4730" w:type="dxa"/>
          </w:tcPr>
          <w:p w14:paraId="3FA2479D"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Conversion factor for ECTS credit points applied at specific fields of study and specialties, if the exchange of students on an international or national level fail to guarantee an equivalence in students’ achievements</w:t>
            </w:r>
          </w:p>
        </w:tc>
        <w:tc>
          <w:tcPr>
            <w:tcW w:w="7903" w:type="dxa"/>
          </w:tcPr>
          <w:p w14:paraId="1D824AA4" w14:textId="7B0682B9" w:rsidR="005E1FD1" w:rsidRPr="006C51F7" w:rsidRDefault="001630D1" w:rsidP="0095261C">
            <w:pPr>
              <w:ind w:right="477"/>
              <w:jc w:val="both"/>
              <w:rPr>
                <w:rFonts w:ascii="Times New Roman" w:hAnsi="Times New Roman" w:cs="Times New Roman"/>
                <w:sz w:val="20"/>
                <w:szCs w:val="20"/>
              </w:rPr>
            </w:pPr>
            <w:r>
              <w:rPr>
                <w:rFonts w:ascii="Times New Roman" w:hAnsi="Times New Roman"/>
                <w:sz w:val="20"/>
              </w:rPr>
              <w:t>The students pursuing a semester/study year at partnering schools under mobility programmes are required to score the ECTS credits specified in the relevant Learning Agreement and Annex concluded by signature prior to mobility. Whenever a student fails to score the specified ECTS credits, the Dean has the right to elect conditional credi</w:t>
            </w:r>
            <w:r w:rsidR="00D1314F">
              <w:rPr>
                <w:rFonts w:ascii="Times New Roman" w:hAnsi="Times New Roman"/>
                <w:sz w:val="20"/>
              </w:rPr>
              <w:t>t</w:t>
            </w:r>
            <w:r w:rsidR="00CD480E">
              <w:rPr>
                <w:rFonts w:ascii="Times New Roman" w:hAnsi="Times New Roman"/>
                <w:sz w:val="20"/>
              </w:rPr>
              <w:t>ing</w:t>
            </w:r>
            <w:r>
              <w:rPr>
                <w:rFonts w:ascii="Times New Roman" w:hAnsi="Times New Roman"/>
                <w:sz w:val="20"/>
              </w:rPr>
              <w:t xml:space="preserve"> and promotion</w:t>
            </w:r>
            <w:r w:rsidR="00D1314F">
              <w:rPr>
                <w:rFonts w:ascii="Times New Roman" w:hAnsi="Times New Roman"/>
                <w:sz w:val="20"/>
              </w:rPr>
              <w:t xml:space="preserve"> to</w:t>
            </w:r>
            <w:r>
              <w:rPr>
                <w:rFonts w:ascii="Times New Roman" w:hAnsi="Times New Roman"/>
                <w:sz w:val="20"/>
              </w:rPr>
              <w:t xml:space="preserve"> the </w:t>
            </w:r>
            <w:r w:rsidR="00D1314F">
              <w:rPr>
                <w:rFonts w:ascii="Times New Roman" w:hAnsi="Times New Roman"/>
                <w:sz w:val="20"/>
              </w:rPr>
              <w:t xml:space="preserve">following </w:t>
            </w:r>
            <w:r>
              <w:rPr>
                <w:rFonts w:ascii="Times New Roman" w:hAnsi="Times New Roman"/>
                <w:sz w:val="20"/>
              </w:rPr>
              <w:t>semester, or to elect student’s repetition of the semester.</w:t>
            </w:r>
            <w:r w:rsidR="002B63D0">
              <w:rPr>
                <w:rFonts w:ascii="Times New Roman" w:hAnsi="Times New Roman"/>
                <w:sz w:val="20"/>
              </w:rPr>
              <w:t xml:space="preserve"> </w:t>
            </w:r>
            <w:r>
              <w:rPr>
                <w:rFonts w:ascii="Times New Roman" w:hAnsi="Times New Roman"/>
                <w:sz w:val="20"/>
              </w:rPr>
              <w:t>Whenever doubts arise as to the crediting of and promotion from a semester/study year, the clarification is at the discretion of the Dean.</w:t>
            </w:r>
          </w:p>
        </w:tc>
      </w:tr>
      <w:tr w:rsidR="005E1FD1" w:rsidRPr="006C51F7" w14:paraId="075B2D28" w14:textId="77777777" w:rsidTr="00843ED1">
        <w:tc>
          <w:tcPr>
            <w:tcW w:w="1361" w:type="dxa"/>
          </w:tcPr>
          <w:p w14:paraId="1533CBAE" w14:textId="24AD24AA"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5(2)(g)</w:t>
            </w:r>
          </w:p>
        </w:tc>
        <w:tc>
          <w:tcPr>
            <w:tcW w:w="4730" w:type="dxa"/>
          </w:tcPr>
          <w:p w14:paraId="7F19865C"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Possibility to apply for an individually arranged study schedule and curriculum (IPS) starting from the first semester of second-cycle studies</w:t>
            </w:r>
          </w:p>
        </w:tc>
        <w:tc>
          <w:tcPr>
            <w:tcW w:w="7903" w:type="dxa"/>
          </w:tcPr>
          <w:p w14:paraId="11446173" w14:textId="5A820AC9" w:rsidR="005E1FD1" w:rsidRPr="0095261C" w:rsidRDefault="009B6EE7" w:rsidP="005E1FD1">
            <w:pPr>
              <w:ind w:right="477"/>
              <w:rPr>
                <w:rFonts w:ascii="Times New Roman" w:eastAsia="Times New Roman" w:hAnsi="Times New Roman" w:cs="Times New Roman"/>
                <w:color w:val="000000" w:themeColor="text1"/>
                <w:sz w:val="20"/>
                <w:szCs w:val="20"/>
              </w:rPr>
            </w:pPr>
            <w:r>
              <w:rPr>
                <w:rFonts w:ascii="Times New Roman" w:hAnsi="Times New Roman"/>
                <w:sz w:val="20"/>
              </w:rPr>
              <w:t>None.</w:t>
            </w:r>
          </w:p>
        </w:tc>
      </w:tr>
      <w:tr w:rsidR="005E1FD1" w:rsidRPr="006C51F7" w14:paraId="254EF8D1" w14:textId="77777777" w:rsidTr="00843ED1">
        <w:tc>
          <w:tcPr>
            <w:tcW w:w="1361" w:type="dxa"/>
          </w:tcPr>
          <w:p w14:paraId="4FE009BC" w14:textId="20A58FC3"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5(2)(h)</w:t>
            </w:r>
          </w:p>
        </w:tc>
        <w:tc>
          <w:tcPr>
            <w:tcW w:w="4730" w:type="dxa"/>
          </w:tcPr>
          <w:p w14:paraId="60E23F98"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Separate set of rules, from the one stipulated in Section § 38(7) and 38(8) of the hereby Rules, for recognising a as a part of the student’s upcoming pursuit of studies</w:t>
            </w:r>
          </w:p>
        </w:tc>
        <w:tc>
          <w:tcPr>
            <w:tcW w:w="7903" w:type="dxa"/>
          </w:tcPr>
          <w:p w14:paraId="066D2C73" w14:textId="07B9AB9D" w:rsidR="005E1FD1" w:rsidRPr="005E1FD1" w:rsidRDefault="009B6EE7" w:rsidP="005E1FD1">
            <w:pPr>
              <w:ind w:right="477"/>
              <w:rPr>
                <w:rFonts w:ascii="Times New Roman" w:hAnsi="Times New Roman" w:cs="Times New Roman"/>
                <w:sz w:val="20"/>
                <w:szCs w:val="20"/>
              </w:rPr>
            </w:pPr>
            <w:r>
              <w:rPr>
                <w:rFonts w:ascii="Times New Roman" w:hAnsi="Times New Roman"/>
                <w:sz w:val="20"/>
              </w:rPr>
              <w:t>None.</w:t>
            </w:r>
          </w:p>
        </w:tc>
      </w:tr>
      <w:tr w:rsidR="005E1FD1" w:rsidRPr="006C51F7" w14:paraId="26C1CB8E" w14:textId="77777777" w:rsidTr="00843ED1">
        <w:tc>
          <w:tcPr>
            <w:tcW w:w="1361" w:type="dxa"/>
          </w:tcPr>
          <w:p w14:paraId="61AC36E0" w14:textId="40BAEEC9"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5(2)(</w:t>
            </w:r>
            <w:proofErr w:type="spellStart"/>
            <w:r>
              <w:rPr>
                <w:rFonts w:ascii="Times New Roman" w:hAnsi="Times New Roman"/>
                <w:b/>
                <w:color w:val="000000"/>
                <w:sz w:val="20"/>
              </w:rPr>
              <w:t>i</w:t>
            </w:r>
            <w:proofErr w:type="spellEnd"/>
            <w:r>
              <w:rPr>
                <w:rFonts w:ascii="Times New Roman" w:hAnsi="Times New Roman"/>
                <w:b/>
                <w:color w:val="000000"/>
                <w:sz w:val="20"/>
              </w:rPr>
              <w:t>)</w:t>
            </w:r>
          </w:p>
        </w:tc>
        <w:tc>
          <w:tcPr>
            <w:tcW w:w="4730" w:type="dxa"/>
          </w:tcPr>
          <w:p w14:paraId="26C21E1F" w14:textId="77777777" w:rsidR="005E1FD1" w:rsidRPr="006C51F7" w:rsidRDefault="005E1FD1" w:rsidP="00843ED1">
            <w:pPr>
              <w:rPr>
                <w:rFonts w:ascii="Times New Roman" w:hAnsi="Times New Roman" w:cs="Times New Roman"/>
                <w:sz w:val="20"/>
                <w:szCs w:val="20"/>
              </w:rPr>
            </w:pPr>
            <w:r>
              <w:rPr>
                <w:rFonts w:ascii="Times New Roman" w:hAnsi="Times New Roman"/>
                <w:sz w:val="20"/>
              </w:rPr>
              <w:t>Separate set of rules, from the one stipulated in Section § 38(9) of the hereby Rules, for receiving credits and sitting examinations</w:t>
            </w:r>
          </w:p>
        </w:tc>
        <w:tc>
          <w:tcPr>
            <w:tcW w:w="7903" w:type="dxa"/>
          </w:tcPr>
          <w:p w14:paraId="000A5093" w14:textId="5555A932" w:rsidR="005E1FD1" w:rsidRPr="006C51F7" w:rsidRDefault="009B6EE7" w:rsidP="005E1FD1">
            <w:pPr>
              <w:ind w:right="477"/>
              <w:rPr>
                <w:rFonts w:ascii="Times New Roman" w:eastAsia="Times New Roman" w:hAnsi="Times New Roman" w:cs="Times New Roman"/>
                <w:color w:val="7030A0"/>
                <w:sz w:val="20"/>
                <w:szCs w:val="20"/>
              </w:rPr>
            </w:pPr>
            <w:r>
              <w:rPr>
                <w:rFonts w:ascii="Times New Roman" w:hAnsi="Times New Roman"/>
                <w:sz w:val="20"/>
              </w:rPr>
              <w:t>None.</w:t>
            </w:r>
          </w:p>
        </w:tc>
      </w:tr>
      <w:tr w:rsidR="005E1FD1" w:rsidRPr="006C51F7" w14:paraId="438251E3" w14:textId="77777777" w:rsidTr="00843ED1">
        <w:tc>
          <w:tcPr>
            <w:tcW w:w="1361" w:type="dxa"/>
          </w:tcPr>
          <w:p w14:paraId="73AACA3F" w14:textId="428A6EC8"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5(2)(j)</w:t>
            </w:r>
          </w:p>
        </w:tc>
        <w:tc>
          <w:tcPr>
            <w:tcW w:w="4730" w:type="dxa"/>
          </w:tcPr>
          <w:p w14:paraId="7A1DBB2F" w14:textId="77777777" w:rsidR="005E1FD1" w:rsidRPr="0095261C" w:rsidRDefault="005E1FD1" w:rsidP="00843ED1">
            <w:pPr>
              <w:rPr>
                <w:rFonts w:ascii="Times New Roman" w:hAnsi="Times New Roman" w:cs="Times New Roman"/>
                <w:color w:val="000000" w:themeColor="text1"/>
                <w:sz w:val="20"/>
                <w:szCs w:val="20"/>
              </w:rPr>
            </w:pPr>
            <w:r>
              <w:rPr>
                <w:rFonts w:ascii="Times New Roman" w:hAnsi="Times New Roman"/>
                <w:color w:val="000000" w:themeColor="text1"/>
                <w:sz w:val="20"/>
              </w:rPr>
              <w:t>Additional, to the ones stipulated in Section § 52, designations for a thesis, or provide examples of written output that meet the guidelines for a Diploma Thesis</w:t>
            </w:r>
          </w:p>
        </w:tc>
        <w:tc>
          <w:tcPr>
            <w:tcW w:w="7903" w:type="dxa"/>
          </w:tcPr>
          <w:p w14:paraId="61A2F448" w14:textId="07EC83DA" w:rsidR="005E1FD1" w:rsidRPr="0095261C" w:rsidRDefault="009B6EE7" w:rsidP="005E1FD1">
            <w:pPr>
              <w:ind w:right="477"/>
              <w:rPr>
                <w:rFonts w:ascii="Times New Roman" w:eastAsia="Times New Roman" w:hAnsi="Times New Roman" w:cs="Times New Roman"/>
                <w:color w:val="000000" w:themeColor="text1"/>
                <w:sz w:val="20"/>
                <w:szCs w:val="20"/>
              </w:rPr>
            </w:pPr>
            <w:r>
              <w:rPr>
                <w:rFonts w:ascii="Times New Roman" w:hAnsi="Times New Roman"/>
                <w:sz w:val="20"/>
              </w:rPr>
              <w:t>None.</w:t>
            </w:r>
          </w:p>
        </w:tc>
      </w:tr>
      <w:tr w:rsidR="005E1FD1" w:rsidRPr="006C51F7" w14:paraId="7AFA9B75" w14:textId="77777777" w:rsidTr="00843ED1">
        <w:tc>
          <w:tcPr>
            <w:tcW w:w="1361" w:type="dxa"/>
          </w:tcPr>
          <w:p w14:paraId="798C423C" w14:textId="58E30041"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lastRenderedPageBreak/>
              <w:t xml:space="preserve">§ </w:t>
            </w:r>
            <w:r>
              <w:rPr>
                <w:rFonts w:ascii="Times New Roman" w:hAnsi="Times New Roman"/>
                <w:b/>
                <w:color w:val="000000"/>
                <w:sz w:val="20"/>
              </w:rPr>
              <w:t>5(2)(k)</w:t>
            </w:r>
          </w:p>
        </w:tc>
        <w:tc>
          <w:tcPr>
            <w:tcW w:w="4730" w:type="dxa"/>
          </w:tcPr>
          <w:p w14:paraId="14D5F0A9" w14:textId="77777777" w:rsidR="005E1FD1" w:rsidRPr="0095261C" w:rsidRDefault="005E1FD1" w:rsidP="00843ED1">
            <w:pPr>
              <w:rPr>
                <w:rFonts w:ascii="Times New Roman" w:hAnsi="Times New Roman" w:cs="Times New Roman"/>
                <w:color w:val="000000" w:themeColor="text1"/>
                <w:sz w:val="20"/>
                <w:szCs w:val="20"/>
              </w:rPr>
            </w:pPr>
            <w:r>
              <w:rPr>
                <w:rFonts w:ascii="Times New Roman" w:hAnsi="Times New Roman"/>
                <w:color w:val="000000" w:themeColor="text1"/>
                <w:sz w:val="20"/>
              </w:rPr>
              <w:t>Prolonging the period, stipulated in Section § 54(5), entitling the student to exemption from taking complementary examinations and courses that would make up for differences in study curricula and/or study schedules</w:t>
            </w:r>
          </w:p>
        </w:tc>
        <w:tc>
          <w:tcPr>
            <w:tcW w:w="7903" w:type="dxa"/>
          </w:tcPr>
          <w:p w14:paraId="6E7E366B" w14:textId="2A63AA14" w:rsidR="005E1FD1" w:rsidRPr="0095261C" w:rsidRDefault="009B6EE7" w:rsidP="005E1FD1">
            <w:pPr>
              <w:ind w:right="477"/>
              <w:rPr>
                <w:rFonts w:ascii="Times New Roman" w:eastAsia="Times New Roman" w:hAnsi="Times New Roman" w:cs="Times New Roman"/>
                <w:color w:val="000000" w:themeColor="text1"/>
                <w:sz w:val="20"/>
                <w:szCs w:val="20"/>
              </w:rPr>
            </w:pPr>
            <w:r>
              <w:rPr>
                <w:rFonts w:ascii="Times New Roman" w:hAnsi="Times New Roman"/>
                <w:sz w:val="20"/>
              </w:rPr>
              <w:t>None.</w:t>
            </w:r>
          </w:p>
        </w:tc>
      </w:tr>
      <w:tr w:rsidR="005E1FD1" w:rsidRPr="006C51F7" w14:paraId="7EF63DC6" w14:textId="77777777" w:rsidTr="00843ED1">
        <w:tc>
          <w:tcPr>
            <w:tcW w:w="1361" w:type="dxa"/>
          </w:tcPr>
          <w:p w14:paraId="7B2AC99E" w14:textId="31FD2084" w:rsidR="005E1FD1" w:rsidRPr="006C51F7" w:rsidRDefault="005E1FD1" w:rsidP="00843ED1">
            <w:pPr>
              <w:jc w:val="center"/>
              <w:rPr>
                <w:rFonts w:ascii="Times New Roman" w:hAnsi="Times New Roman" w:cs="Times New Roman"/>
                <w:b/>
                <w:sz w:val="20"/>
                <w:szCs w:val="20"/>
              </w:rPr>
            </w:pPr>
            <w:r>
              <w:rPr>
                <w:rFonts w:ascii="Times New Roman" w:hAnsi="Times New Roman"/>
                <w:b/>
                <w:sz w:val="20"/>
              </w:rPr>
              <w:t xml:space="preserve">§ </w:t>
            </w:r>
            <w:r>
              <w:rPr>
                <w:rFonts w:ascii="Times New Roman" w:hAnsi="Times New Roman"/>
                <w:b/>
                <w:color w:val="000000"/>
                <w:sz w:val="20"/>
              </w:rPr>
              <w:t>5(2)(l)</w:t>
            </w:r>
          </w:p>
        </w:tc>
        <w:tc>
          <w:tcPr>
            <w:tcW w:w="4730" w:type="dxa"/>
          </w:tcPr>
          <w:p w14:paraId="3385A4D1" w14:textId="77777777" w:rsidR="005E1FD1" w:rsidRPr="0095261C" w:rsidRDefault="005E1FD1" w:rsidP="00843ED1">
            <w:pPr>
              <w:rPr>
                <w:rFonts w:ascii="Times New Roman" w:hAnsi="Times New Roman" w:cs="Times New Roman"/>
                <w:color w:val="000000" w:themeColor="text1"/>
                <w:sz w:val="20"/>
                <w:szCs w:val="20"/>
              </w:rPr>
            </w:pPr>
            <w:r>
              <w:rPr>
                <w:rFonts w:ascii="Times New Roman" w:hAnsi="Times New Roman"/>
                <w:color w:val="000000" w:themeColor="text1"/>
                <w:sz w:val="20"/>
              </w:rPr>
              <w:t>Form of Bachelor's/Master's diploma examination different from the one stipulated in Section § 56(6)</w:t>
            </w:r>
          </w:p>
        </w:tc>
        <w:tc>
          <w:tcPr>
            <w:tcW w:w="7903" w:type="dxa"/>
          </w:tcPr>
          <w:p w14:paraId="2910A77D" w14:textId="04943EA5" w:rsidR="005E1FD1" w:rsidRPr="0095261C" w:rsidRDefault="009B6EE7" w:rsidP="005E1FD1">
            <w:pPr>
              <w:ind w:right="477"/>
              <w:rPr>
                <w:rFonts w:ascii="Times New Roman" w:eastAsia="Times New Roman" w:hAnsi="Times New Roman" w:cs="Times New Roman"/>
                <w:color w:val="000000" w:themeColor="text1"/>
                <w:sz w:val="20"/>
                <w:szCs w:val="20"/>
              </w:rPr>
            </w:pPr>
            <w:r>
              <w:rPr>
                <w:rFonts w:ascii="Times New Roman" w:hAnsi="Times New Roman"/>
                <w:sz w:val="20"/>
              </w:rPr>
              <w:t>None.</w:t>
            </w:r>
          </w:p>
        </w:tc>
      </w:tr>
    </w:tbl>
    <w:p w14:paraId="77CF15ED" w14:textId="77777777" w:rsidR="005E1FD1" w:rsidRPr="006C51F7" w:rsidRDefault="005E1FD1" w:rsidP="005E1FD1">
      <w:pPr>
        <w:spacing w:after="0" w:line="240" w:lineRule="auto"/>
        <w:rPr>
          <w:rFonts w:ascii="Times New Roman" w:hAnsi="Times New Roman" w:cs="Times New Roman"/>
          <w:sz w:val="20"/>
          <w:szCs w:val="20"/>
        </w:rPr>
      </w:pPr>
    </w:p>
    <w:p w14:paraId="4F56F520" w14:textId="0677449F" w:rsidR="00595967" w:rsidRDefault="00595967" w:rsidP="007A740C">
      <w:pPr>
        <w:jc w:val="both"/>
      </w:pPr>
    </w:p>
    <w:sectPr w:rsidR="00595967" w:rsidSect="00810CB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50D7E6"/>
    <w:multiLevelType w:val="hybridMultilevel"/>
    <w:tmpl w:val="16B554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9BB69A"/>
    <w:multiLevelType w:val="hybridMultilevel"/>
    <w:tmpl w:val="145836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1A4C827"/>
    <w:multiLevelType w:val="hybridMultilevel"/>
    <w:tmpl w:val="12901C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F48EBD"/>
    <w:multiLevelType w:val="hybridMultilevel"/>
    <w:tmpl w:val="05589A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8913734"/>
    <w:multiLevelType w:val="hybridMultilevel"/>
    <w:tmpl w:val="A996DD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CE3E41"/>
    <w:multiLevelType w:val="hybridMultilevel"/>
    <w:tmpl w:val="EC3C7760"/>
    <w:lvl w:ilvl="0" w:tplc="4B6CF058">
      <w:start w:val="1"/>
      <w:numFmt w:val="decimal"/>
      <w:lvlText w:val="%1."/>
      <w:lvlJc w:val="left"/>
      <w:pPr>
        <w:ind w:left="945" w:firstLine="0"/>
      </w:pPr>
      <w:rPr>
        <w:rFonts w:ascii="Times New Roman" w:hAnsi="Times New Roman" w:cs="Times New Roman" w:hint="default"/>
        <w:b w:val="0"/>
        <w:i w:val="0"/>
        <w:iCs/>
        <w:strike w:val="0"/>
        <w:dstrike w:val="0"/>
        <w:color w:val="7030A0"/>
        <w:sz w:val="20"/>
        <w:szCs w:val="24"/>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EE854B"/>
    <w:multiLevelType w:val="hybridMultilevel"/>
    <w:tmpl w:val="4534AE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5EAE21"/>
    <w:multiLevelType w:val="hybridMultilevel"/>
    <w:tmpl w:val="294AF0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5C37679"/>
    <w:multiLevelType w:val="hybridMultilevel"/>
    <w:tmpl w:val="716D61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6850F60"/>
    <w:multiLevelType w:val="hybridMultilevel"/>
    <w:tmpl w:val="0D863AA2"/>
    <w:lvl w:ilvl="0" w:tplc="9B049694">
      <w:start w:val="8"/>
      <w:numFmt w:val="lowerLetter"/>
      <w:lvlText w:val="%1)"/>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CA1908">
      <w:start w:val="1"/>
      <w:numFmt w:val="bullet"/>
      <w:lvlText w:val="-"/>
      <w:lvlJc w:val="left"/>
      <w:pPr>
        <w:ind w:left="706"/>
      </w:pPr>
      <w:rPr>
        <w:rFonts w:ascii="Courier New" w:hAnsi="Courier New" w:hint="default"/>
        <w:b w:val="0"/>
        <w:i/>
        <w:iCs/>
        <w:strike w:val="0"/>
        <w:dstrike w:val="0"/>
        <w:color w:val="7030A0"/>
        <w:sz w:val="24"/>
        <w:szCs w:val="24"/>
        <w:u w:val="none" w:color="000000"/>
        <w:bdr w:val="none" w:sz="0" w:space="0" w:color="auto"/>
        <w:shd w:val="clear" w:color="auto" w:fill="auto"/>
        <w:vertAlign w:val="baseline"/>
      </w:rPr>
    </w:lvl>
    <w:lvl w:ilvl="2" w:tplc="0AF267BE">
      <w:start w:val="1"/>
      <w:numFmt w:val="bullet"/>
      <w:lvlText w:val="▪"/>
      <w:lvlJc w:val="left"/>
      <w:pPr>
        <w:ind w:left="143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3" w:tplc="5FD60BD4">
      <w:start w:val="1"/>
      <w:numFmt w:val="bullet"/>
      <w:lvlText w:val="•"/>
      <w:lvlJc w:val="left"/>
      <w:pPr>
        <w:ind w:left="215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4" w:tplc="0164A23C">
      <w:start w:val="1"/>
      <w:numFmt w:val="bullet"/>
      <w:lvlText w:val="o"/>
      <w:lvlJc w:val="left"/>
      <w:pPr>
        <w:ind w:left="287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5" w:tplc="5D8AE4E4">
      <w:start w:val="1"/>
      <w:numFmt w:val="bullet"/>
      <w:lvlText w:val="▪"/>
      <w:lvlJc w:val="left"/>
      <w:pPr>
        <w:ind w:left="359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6" w:tplc="8A08C14C">
      <w:start w:val="1"/>
      <w:numFmt w:val="bullet"/>
      <w:lvlText w:val="•"/>
      <w:lvlJc w:val="left"/>
      <w:pPr>
        <w:ind w:left="431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7" w:tplc="3CF88482">
      <w:start w:val="1"/>
      <w:numFmt w:val="bullet"/>
      <w:lvlText w:val="o"/>
      <w:lvlJc w:val="left"/>
      <w:pPr>
        <w:ind w:left="503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8" w:tplc="CD5843B0">
      <w:start w:val="1"/>
      <w:numFmt w:val="bullet"/>
      <w:lvlText w:val="▪"/>
      <w:lvlJc w:val="left"/>
      <w:pPr>
        <w:ind w:left="575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abstractNum>
  <w:abstractNum w:abstractNumId="10" w15:restartNumberingAfterBreak="0">
    <w:nsid w:val="1A8FE15C"/>
    <w:multiLevelType w:val="hybridMultilevel"/>
    <w:tmpl w:val="A1203C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86D653D"/>
    <w:multiLevelType w:val="hybridMultilevel"/>
    <w:tmpl w:val="654A243E"/>
    <w:lvl w:ilvl="0" w:tplc="6F60487E">
      <w:start w:val="1"/>
      <w:numFmt w:val="decimal"/>
      <w:lvlText w:val="%1."/>
      <w:lvlJc w:val="left"/>
      <w:pPr>
        <w:ind w:left="240"/>
      </w:pPr>
      <w:rPr>
        <w:rFonts w:ascii="Times New Roman" w:hAnsi="Times New Roman" w:cs="Times New Roman" w:hint="default"/>
        <w:b w:val="0"/>
        <w:i w:val="0"/>
        <w:iCs/>
        <w:strike w:val="0"/>
        <w:dstrike w:val="0"/>
        <w:color w:val="7030A0"/>
        <w:sz w:val="20"/>
        <w:szCs w:val="24"/>
        <w:u w:val="none" w:color="000000"/>
        <w:bdr w:val="none" w:sz="0" w:space="0" w:color="auto"/>
        <w:shd w:val="clear" w:color="auto" w:fill="auto"/>
        <w:vertAlign w:val="baseline"/>
      </w:rPr>
    </w:lvl>
    <w:lvl w:ilvl="1" w:tplc="0C32540A">
      <w:start w:val="1"/>
      <w:numFmt w:val="lowerLetter"/>
      <w:lvlText w:val="%2"/>
      <w:lvlJc w:val="left"/>
      <w:pPr>
        <w:ind w:left="1080"/>
      </w:pPr>
      <w:rPr>
        <w:rFonts w:ascii="Times New Roman" w:hAnsi="Times New Roman" w:cs="Times New Roman" w:hint="default"/>
        <w:b w:val="0"/>
        <w:i w:val="0"/>
        <w:iCs/>
        <w:strike w:val="0"/>
        <w:dstrike w:val="0"/>
        <w:color w:val="7030A0"/>
        <w:sz w:val="20"/>
        <w:szCs w:val="24"/>
        <w:u w:val="none" w:color="000000"/>
        <w:bdr w:val="none" w:sz="0" w:space="0" w:color="auto"/>
        <w:shd w:val="clear" w:color="auto" w:fill="auto"/>
        <w:vertAlign w:val="baseline"/>
      </w:rPr>
    </w:lvl>
    <w:lvl w:ilvl="2" w:tplc="A4C22B9E">
      <w:start w:val="1"/>
      <w:numFmt w:val="lowerRoman"/>
      <w:lvlText w:val="%3"/>
      <w:lvlJc w:val="left"/>
      <w:pPr>
        <w:ind w:left="180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3" w:tplc="AE8228C8">
      <w:start w:val="1"/>
      <w:numFmt w:val="decimal"/>
      <w:lvlText w:val="%4"/>
      <w:lvlJc w:val="left"/>
      <w:pPr>
        <w:ind w:left="252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4" w:tplc="F8A21104">
      <w:start w:val="1"/>
      <w:numFmt w:val="lowerLetter"/>
      <w:lvlText w:val="%5"/>
      <w:lvlJc w:val="left"/>
      <w:pPr>
        <w:ind w:left="324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5" w:tplc="0E289A2C">
      <w:start w:val="1"/>
      <w:numFmt w:val="lowerRoman"/>
      <w:lvlText w:val="%6"/>
      <w:lvlJc w:val="left"/>
      <w:pPr>
        <w:ind w:left="396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6" w:tplc="F26A624C">
      <w:start w:val="1"/>
      <w:numFmt w:val="decimal"/>
      <w:lvlText w:val="%7"/>
      <w:lvlJc w:val="left"/>
      <w:pPr>
        <w:ind w:left="468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7" w:tplc="74CC3B76">
      <w:start w:val="1"/>
      <w:numFmt w:val="lowerLetter"/>
      <w:lvlText w:val="%8"/>
      <w:lvlJc w:val="left"/>
      <w:pPr>
        <w:ind w:left="540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8" w:tplc="7F2ADF66">
      <w:start w:val="1"/>
      <w:numFmt w:val="lowerRoman"/>
      <w:lvlText w:val="%9"/>
      <w:lvlJc w:val="left"/>
      <w:pPr>
        <w:ind w:left="612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abstractNum>
  <w:abstractNum w:abstractNumId="12" w15:restartNumberingAfterBreak="0">
    <w:nsid w:val="42FB5BD3"/>
    <w:multiLevelType w:val="hybridMultilevel"/>
    <w:tmpl w:val="A38ED2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423D514"/>
    <w:multiLevelType w:val="hybridMultilevel"/>
    <w:tmpl w:val="A54DCE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612AFBC"/>
    <w:multiLevelType w:val="hybridMultilevel"/>
    <w:tmpl w:val="E7E00B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6B4E7F5"/>
    <w:multiLevelType w:val="hybridMultilevel"/>
    <w:tmpl w:val="C49EEA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FCA29AB"/>
    <w:multiLevelType w:val="hybridMultilevel"/>
    <w:tmpl w:val="A2A686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07621D8"/>
    <w:multiLevelType w:val="hybridMultilevel"/>
    <w:tmpl w:val="30044F88"/>
    <w:lvl w:ilvl="0" w:tplc="55C0FAC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632211"/>
    <w:multiLevelType w:val="hybridMultilevel"/>
    <w:tmpl w:val="531F51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C841C9F"/>
    <w:multiLevelType w:val="hybridMultilevel"/>
    <w:tmpl w:val="7FB27114"/>
    <w:lvl w:ilvl="0" w:tplc="EAA41F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D48797D"/>
    <w:multiLevelType w:val="hybridMultilevel"/>
    <w:tmpl w:val="0694C872"/>
    <w:lvl w:ilvl="0" w:tplc="6F60487E">
      <w:start w:val="1"/>
      <w:numFmt w:val="decimal"/>
      <w:lvlText w:val="%1."/>
      <w:lvlJc w:val="left"/>
      <w:pPr>
        <w:ind w:left="240"/>
      </w:pPr>
      <w:rPr>
        <w:rFonts w:ascii="Times New Roman" w:hAnsi="Times New Roman" w:cs="Times New Roman" w:hint="default"/>
        <w:b w:val="0"/>
        <w:i w:val="0"/>
        <w:iCs/>
        <w:strike w:val="0"/>
        <w:dstrike w:val="0"/>
        <w:color w:val="7030A0"/>
        <w:sz w:val="20"/>
        <w:szCs w:val="24"/>
        <w:u w:val="none" w:color="000000"/>
        <w:bdr w:val="none" w:sz="0" w:space="0" w:color="auto"/>
        <w:shd w:val="clear" w:color="auto" w:fill="auto"/>
        <w:vertAlign w:val="baseline"/>
      </w:rPr>
    </w:lvl>
    <w:lvl w:ilvl="1" w:tplc="A5D8EAA2">
      <w:start w:val="1"/>
      <w:numFmt w:val="lowerLetter"/>
      <w:lvlText w:val="%2)"/>
      <w:lvlJc w:val="left"/>
      <w:pPr>
        <w:ind w:left="1080"/>
      </w:pPr>
      <w:rPr>
        <w:rFonts w:ascii="Times New Roman" w:hAnsi="Times New Roman" w:hint="default"/>
        <w:b w:val="0"/>
        <w:i w:val="0"/>
        <w:iCs/>
        <w:strike w:val="0"/>
        <w:dstrike w:val="0"/>
        <w:color w:val="7030A0"/>
        <w:sz w:val="20"/>
        <w:szCs w:val="24"/>
        <w:u w:val="none" w:color="000000"/>
        <w:bdr w:val="none" w:sz="0" w:space="0" w:color="auto"/>
        <w:shd w:val="clear" w:color="auto" w:fill="auto"/>
        <w:vertAlign w:val="baseline"/>
      </w:rPr>
    </w:lvl>
    <w:lvl w:ilvl="2" w:tplc="A4C22B9E">
      <w:start w:val="1"/>
      <w:numFmt w:val="lowerRoman"/>
      <w:lvlText w:val="%3"/>
      <w:lvlJc w:val="left"/>
      <w:pPr>
        <w:ind w:left="180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3" w:tplc="AE8228C8">
      <w:start w:val="1"/>
      <w:numFmt w:val="decimal"/>
      <w:lvlText w:val="%4"/>
      <w:lvlJc w:val="left"/>
      <w:pPr>
        <w:ind w:left="252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4" w:tplc="F8A21104">
      <w:start w:val="1"/>
      <w:numFmt w:val="lowerLetter"/>
      <w:lvlText w:val="%5"/>
      <w:lvlJc w:val="left"/>
      <w:pPr>
        <w:ind w:left="324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5" w:tplc="0E289A2C">
      <w:start w:val="1"/>
      <w:numFmt w:val="lowerRoman"/>
      <w:lvlText w:val="%6"/>
      <w:lvlJc w:val="left"/>
      <w:pPr>
        <w:ind w:left="396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6" w:tplc="F26A624C">
      <w:start w:val="1"/>
      <w:numFmt w:val="decimal"/>
      <w:lvlText w:val="%7"/>
      <w:lvlJc w:val="left"/>
      <w:pPr>
        <w:ind w:left="468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7" w:tplc="74CC3B76">
      <w:start w:val="1"/>
      <w:numFmt w:val="lowerLetter"/>
      <w:lvlText w:val="%8"/>
      <w:lvlJc w:val="left"/>
      <w:pPr>
        <w:ind w:left="540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8" w:tplc="7F2ADF66">
      <w:start w:val="1"/>
      <w:numFmt w:val="lowerRoman"/>
      <w:lvlText w:val="%9"/>
      <w:lvlJc w:val="left"/>
      <w:pPr>
        <w:ind w:left="612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abstractNum>
  <w:num w:numId="1" w16cid:durableId="211043544">
    <w:abstractNumId w:val="9"/>
  </w:num>
  <w:num w:numId="2" w16cid:durableId="736710944">
    <w:abstractNumId w:val="17"/>
  </w:num>
  <w:num w:numId="3" w16cid:durableId="1633557287">
    <w:abstractNumId w:val="5"/>
  </w:num>
  <w:num w:numId="4" w16cid:durableId="1495144824">
    <w:abstractNumId w:val="11"/>
  </w:num>
  <w:num w:numId="5" w16cid:durableId="934284428">
    <w:abstractNumId w:val="20"/>
  </w:num>
  <w:num w:numId="6" w16cid:durableId="488062464">
    <w:abstractNumId w:val="19"/>
  </w:num>
  <w:num w:numId="7" w16cid:durableId="1340162028">
    <w:abstractNumId w:val="14"/>
  </w:num>
  <w:num w:numId="8" w16cid:durableId="1405839580">
    <w:abstractNumId w:val="16"/>
  </w:num>
  <w:num w:numId="9" w16cid:durableId="764425295">
    <w:abstractNumId w:val="7"/>
  </w:num>
  <w:num w:numId="10" w16cid:durableId="787552264">
    <w:abstractNumId w:val="13"/>
  </w:num>
  <w:num w:numId="11" w16cid:durableId="606818445">
    <w:abstractNumId w:val="10"/>
  </w:num>
  <w:num w:numId="12" w16cid:durableId="594244692">
    <w:abstractNumId w:val="1"/>
  </w:num>
  <w:num w:numId="13" w16cid:durableId="1353461333">
    <w:abstractNumId w:val="2"/>
  </w:num>
  <w:num w:numId="14" w16cid:durableId="830484097">
    <w:abstractNumId w:val="18"/>
  </w:num>
  <w:num w:numId="15" w16cid:durableId="1597208412">
    <w:abstractNumId w:val="12"/>
  </w:num>
  <w:num w:numId="16" w16cid:durableId="2081443118">
    <w:abstractNumId w:val="6"/>
  </w:num>
  <w:num w:numId="17" w16cid:durableId="1867908798">
    <w:abstractNumId w:val="3"/>
  </w:num>
  <w:num w:numId="18" w16cid:durableId="1167867316">
    <w:abstractNumId w:val="8"/>
  </w:num>
  <w:num w:numId="19" w16cid:durableId="971784977">
    <w:abstractNumId w:val="0"/>
  </w:num>
  <w:num w:numId="20" w16cid:durableId="101338958">
    <w:abstractNumId w:val="4"/>
  </w:num>
  <w:num w:numId="21" w16cid:durableId="4731367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D1"/>
    <w:rsid w:val="00000820"/>
    <w:rsid w:val="00014836"/>
    <w:rsid w:val="000166B7"/>
    <w:rsid w:val="00045EE0"/>
    <w:rsid w:val="000729B7"/>
    <w:rsid w:val="00074F42"/>
    <w:rsid w:val="00076505"/>
    <w:rsid w:val="0009189A"/>
    <w:rsid w:val="000C629D"/>
    <w:rsid w:val="000E4E4A"/>
    <w:rsid w:val="000F0DEC"/>
    <w:rsid w:val="00115321"/>
    <w:rsid w:val="001630D1"/>
    <w:rsid w:val="00196AF5"/>
    <w:rsid w:val="001A4FB7"/>
    <w:rsid w:val="001A5C08"/>
    <w:rsid w:val="001E2421"/>
    <w:rsid w:val="001F5D8A"/>
    <w:rsid w:val="00207C94"/>
    <w:rsid w:val="00216DB0"/>
    <w:rsid w:val="002541DF"/>
    <w:rsid w:val="002B63D0"/>
    <w:rsid w:val="002B7397"/>
    <w:rsid w:val="002D40ED"/>
    <w:rsid w:val="002E3E37"/>
    <w:rsid w:val="003526D8"/>
    <w:rsid w:val="0038458C"/>
    <w:rsid w:val="003963B9"/>
    <w:rsid w:val="003A11FA"/>
    <w:rsid w:val="003A2BE1"/>
    <w:rsid w:val="003D4C09"/>
    <w:rsid w:val="003D7B5D"/>
    <w:rsid w:val="003F2292"/>
    <w:rsid w:val="00424EB3"/>
    <w:rsid w:val="004439DC"/>
    <w:rsid w:val="00467186"/>
    <w:rsid w:val="004942E4"/>
    <w:rsid w:val="00494A83"/>
    <w:rsid w:val="004F6DDD"/>
    <w:rsid w:val="00512C3D"/>
    <w:rsid w:val="00520A97"/>
    <w:rsid w:val="00532EDB"/>
    <w:rsid w:val="00535EF6"/>
    <w:rsid w:val="00551C8D"/>
    <w:rsid w:val="005542FC"/>
    <w:rsid w:val="00562675"/>
    <w:rsid w:val="00566501"/>
    <w:rsid w:val="00575D5A"/>
    <w:rsid w:val="00581DCF"/>
    <w:rsid w:val="005846E6"/>
    <w:rsid w:val="00595967"/>
    <w:rsid w:val="005E1FD1"/>
    <w:rsid w:val="00634A87"/>
    <w:rsid w:val="00671F6E"/>
    <w:rsid w:val="006825F8"/>
    <w:rsid w:val="006A3230"/>
    <w:rsid w:val="006B5A3A"/>
    <w:rsid w:val="00712985"/>
    <w:rsid w:val="00770D8D"/>
    <w:rsid w:val="00771532"/>
    <w:rsid w:val="007A5BA1"/>
    <w:rsid w:val="007A6EAF"/>
    <w:rsid w:val="007A740C"/>
    <w:rsid w:val="007C4F27"/>
    <w:rsid w:val="008573AB"/>
    <w:rsid w:val="00864686"/>
    <w:rsid w:val="0088377C"/>
    <w:rsid w:val="00884653"/>
    <w:rsid w:val="008D1F70"/>
    <w:rsid w:val="008F58BD"/>
    <w:rsid w:val="00907097"/>
    <w:rsid w:val="00910AFE"/>
    <w:rsid w:val="0091141E"/>
    <w:rsid w:val="00911A71"/>
    <w:rsid w:val="00931A83"/>
    <w:rsid w:val="009461CF"/>
    <w:rsid w:val="0095261C"/>
    <w:rsid w:val="009A730F"/>
    <w:rsid w:val="009B51B4"/>
    <w:rsid w:val="009B6EE7"/>
    <w:rsid w:val="009D602D"/>
    <w:rsid w:val="009D7D89"/>
    <w:rsid w:val="009E1BC7"/>
    <w:rsid w:val="00A14039"/>
    <w:rsid w:val="00A4278B"/>
    <w:rsid w:val="00A51224"/>
    <w:rsid w:val="00A77698"/>
    <w:rsid w:val="00A852F1"/>
    <w:rsid w:val="00AA2F14"/>
    <w:rsid w:val="00AC68D2"/>
    <w:rsid w:val="00B11C47"/>
    <w:rsid w:val="00B41854"/>
    <w:rsid w:val="00B41CF0"/>
    <w:rsid w:val="00B53A46"/>
    <w:rsid w:val="00B704C9"/>
    <w:rsid w:val="00B82118"/>
    <w:rsid w:val="00BD78ED"/>
    <w:rsid w:val="00C63F65"/>
    <w:rsid w:val="00C63F73"/>
    <w:rsid w:val="00C65D57"/>
    <w:rsid w:val="00CD480E"/>
    <w:rsid w:val="00CF0D05"/>
    <w:rsid w:val="00D1314F"/>
    <w:rsid w:val="00D60DDF"/>
    <w:rsid w:val="00D61295"/>
    <w:rsid w:val="00D76817"/>
    <w:rsid w:val="00D80470"/>
    <w:rsid w:val="00D8621D"/>
    <w:rsid w:val="00DE244B"/>
    <w:rsid w:val="00E03395"/>
    <w:rsid w:val="00E25380"/>
    <w:rsid w:val="00E354A3"/>
    <w:rsid w:val="00E439BB"/>
    <w:rsid w:val="00E85E19"/>
    <w:rsid w:val="00E90C01"/>
    <w:rsid w:val="00E9525E"/>
    <w:rsid w:val="00EA235B"/>
    <w:rsid w:val="00EB0D83"/>
    <w:rsid w:val="00ED2B9D"/>
    <w:rsid w:val="00EF565D"/>
    <w:rsid w:val="00F13ED5"/>
    <w:rsid w:val="00F23E8E"/>
    <w:rsid w:val="00F669BF"/>
    <w:rsid w:val="00F86E28"/>
    <w:rsid w:val="00F91870"/>
    <w:rsid w:val="00FB2D47"/>
    <w:rsid w:val="00FD2E82"/>
    <w:rsid w:val="00FE4383"/>
    <w:rsid w:val="00FF6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9B85"/>
  <w15:chartTrackingRefBased/>
  <w15:docId w15:val="{D94D7E18-69BF-4EC8-A13F-1D25F735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1F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E1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E1FD1"/>
    <w:pPr>
      <w:ind w:left="720"/>
      <w:contextualSpacing/>
    </w:pPr>
  </w:style>
  <w:style w:type="paragraph" w:customStyle="1" w:styleId="Default">
    <w:name w:val="Default"/>
    <w:rsid w:val="007A740C"/>
    <w:pPr>
      <w:autoSpaceDE w:val="0"/>
      <w:autoSpaceDN w:val="0"/>
      <w:adjustRightInd w:val="0"/>
      <w:spacing w:after="0" w:line="240" w:lineRule="auto"/>
    </w:pPr>
    <w:rPr>
      <w:rFonts w:ascii="Garamond" w:hAnsi="Garamond" w:cs="Garamond"/>
      <w:color w:val="000000"/>
      <w:sz w:val="24"/>
      <w:szCs w:val="24"/>
    </w:rPr>
  </w:style>
  <w:style w:type="character" w:styleId="Odwoaniedokomentarza">
    <w:name w:val="annotation reference"/>
    <w:basedOn w:val="Domylnaczcionkaakapitu"/>
    <w:uiPriority w:val="99"/>
    <w:semiHidden/>
    <w:unhideWhenUsed/>
    <w:rsid w:val="007A740C"/>
    <w:rPr>
      <w:sz w:val="16"/>
      <w:szCs w:val="16"/>
    </w:rPr>
  </w:style>
  <w:style w:type="paragraph" w:styleId="Tekstkomentarza">
    <w:name w:val="annotation text"/>
    <w:basedOn w:val="Normalny"/>
    <w:link w:val="TekstkomentarzaZnak"/>
    <w:uiPriority w:val="99"/>
    <w:semiHidden/>
    <w:unhideWhenUsed/>
    <w:rsid w:val="007A74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740C"/>
    <w:rPr>
      <w:sz w:val="20"/>
      <w:szCs w:val="20"/>
    </w:rPr>
  </w:style>
  <w:style w:type="paragraph" w:styleId="Tematkomentarza">
    <w:name w:val="annotation subject"/>
    <w:basedOn w:val="Tekstkomentarza"/>
    <w:next w:val="Tekstkomentarza"/>
    <w:link w:val="TematkomentarzaZnak"/>
    <w:uiPriority w:val="99"/>
    <w:semiHidden/>
    <w:unhideWhenUsed/>
    <w:rsid w:val="007A740C"/>
    <w:rPr>
      <w:b/>
      <w:bCs/>
    </w:rPr>
  </w:style>
  <w:style w:type="character" w:customStyle="1" w:styleId="TematkomentarzaZnak">
    <w:name w:val="Temat komentarza Znak"/>
    <w:basedOn w:val="TekstkomentarzaZnak"/>
    <w:link w:val="Tematkomentarza"/>
    <w:uiPriority w:val="99"/>
    <w:semiHidden/>
    <w:rsid w:val="007A740C"/>
    <w:rPr>
      <w:b/>
      <w:bCs/>
      <w:sz w:val="20"/>
      <w:szCs w:val="20"/>
    </w:rPr>
  </w:style>
  <w:style w:type="paragraph" w:styleId="Tekstdymka">
    <w:name w:val="Balloon Text"/>
    <w:basedOn w:val="Normalny"/>
    <w:link w:val="TekstdymkaZnak"/>
    <w:uiPriority w:val="99"/>
    <w:semiHidden/>
    <w:unhideWhenUsed/>
    <w:rsid w:val="001F5D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5D8A"/>
    <w:rPr>
      <w:rFonts w:ascii="Segoe UI" w:hAnsi="Segoe UI" w:cs="Segoe UI"/>
      <w:sz w:val="18"/>
      <w:szCs w:val="18"/>
    </w:rPr>
  </w:style>
  <w:style w:type="paragraph" w:styleId="Bezodstpw">
    <w:name w:val="No Spacing"/>
    <w:uiPriority w:val="1"/>
    <w:qFormat/>
    <w:rsid w:val="00045E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5CFA28B3071464488EF58CB6F6053FC" ma:contentTypeVersion="12" ma:contentTypeDescription="Utwórz nowy dokument." ma:contentTypeScope="" ma:versionID="9f4e78554c70a4cb80a8a55d6f991f6d">
  <xsd:schema xmlns:xsd="http://www.w3.org/2001/XMLSchema" xmlns:xs="http://www.w3.org/2001/XMLSchema" xmlns:p="http://schemas.microsoft.com/office/2006/metadata/properties" xmlns:ns2="5fc69c85-1659-4cf6-a1e5-db2a18c4de0c" xmlns:ns3="95240313-be8a-467c-9f70-ec2bdb9b5710" targetNamespace="http://schemas.microsoft.com/office/2006/metadata/properties" ma:root="true" ma:fieldsID="43a7b7dd0ac2099832e66112bb9c1358" ns2:_="" ns3:_="">
    <xsd:import namespace="5fc69c85-1659-4cf6-a1e5-db2a18c4de0c"/>
    <xsd:import namespace="95240313-be8a-467c-9f70-ec2bdb9b5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69c85-1659-4cf6-a1e5-db2a18c4d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40313-be8a-467c-9f70-ec2bdb9b571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664528-1557-49D8-A739-4E30BE6365F4}">
  <ds:schemaRefs>
    <ds:schemaRef ds:uri="http://schemas.openxmlformats.org/officeDocument/2006/bibliography"/>
  </ds:schemaRefs>
</ds:datastoreItem>
</file>

<file path=customXml/itemProps2.xml><?xml version="1.0" encoding="utf-8"?>
<ds:datastoreItem xmlns:ds="http://schemas.openxmlformats.org/officeDocument/2006/customXml" ds:itemID="{8D35FE6B-63E1-4B67-AD82-A0DBB5E2895C}"/>
</file>

<file path=customXml/itemProps3.xml><?xml version="1.0" encoding="utf-8"?>
<ds:datastoreItem xmlns:ds="http://schemas.openxmlformats.org/officeDocument/2006/customXml" ds:itemID="{2328D508-714A-4089-B884-4D65F232B5EB}"/>
</file>

<file path=customXml/itemProps4.xml><?xml version="1.0" encoding="utf-8"?>
<ds:datastoreItem xmlns:ds="http://schemas.openxmlformats.org/officeDocument/2006/customXml" ds:itemID="{DF36F6B9-4871-47EA-9932-7DAA2D61B382}"/>
</file>

<file path=docProps/app.xml><?xml version="1.0" encoding="utf-8"?>
<Properties xmlns="http://schemas.openxmlformats.org/officeDocument/2006/extended-properties" xmlns:vt="http://schemas.openxmlformats.org/officeDocument/2006/docPropsVTypes">
  <Template>Normal</Template>
  <TotalTime>2</TotalTime>
  <Pages>4</Pages>
  <Words>1372</Words>
  <Characters>7207</Characters>
  <Application>Microsoft Office Word</Application>
  <DocSecurity>0</DocSecurity>
  <Lines>175</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Bednarek-Kokosza</dc:creator>
  <cp:keywords/>
  <dc:description/>
  <cp:lastModifiedBy>Aleksandra Chrząszcz</cp:lastModifiedBy>
  <cp:revision>4</cp:revision>
  <dcterms:created xsi:type="dcterms:W3CDTF">2022-04-28T06:13:00Z</dcterms:created>
  <dcterms:modified xsi:type="dcterms:W3CDTF">2022-04-28T14:22:00Z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0x01010025CFA28B3071464488EF58CB6F6053FC</vt:lpwstr>
  </property>
</Properties>
</file>