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D9B6" w14:textId="77777777" w:rsidR="00E014BB" w:rsidRDefault="00E014BB" w:rsidP="00570AD9">
      <w:pPr>
        <w:pStyle w:val="NormalnyWeb"/>
        <w:spacing w:before="0" w:beforeAutospacing="0" w:after="0" w:afterAutospacing="0"/>
        <w:rPr>
          <w:rFonts w:ascii="Calibri" w:eastAsia="Times New Roman" w:hAnsi="Calibri" w:cs="Verdana"/>
          <w:color w:val="000000"/>
          <w:kern w:val="24"/>
        </w:rPr>
      </w:pPr>
    </w:p>
    <w:p w14:paraId="2823FD1C" w14:textId="77777777" w:rsidR="00D75F64" w:rsidRDefault="00D75F64" w:rsidP="00B36650">
      <w:pPr>
        <w:pStyle w:val="NormalnyWeb"/>
        <w:spacing w:before="0" w:beforeAutospacing="0" w:after="0" w:afterAutospacing="0"/>
        <w:jc w:val="center"/>
        <w:rPr>
          <w:rFonts w:ascii="Calibri" w:eastAsia="Times New Roman" w:hAnsi="Calibri" w:cs="Verdana"/>
          <w:color w:val="000000"/>
          <w:kern w:val="24"/>
        </w:rPr>
      </w:pPr>
    </w:p>
    <w:p w14:paraId="07B1F65D" w14:textId="6713D196" w:rsidR="00E014BB" w:rsidRPr="00EC6FBD" w:rsidRDefault="009B59DA" w:rsidP="00EC6FBD">
      <w:pPr>
        <w:spacing w:after="0" w:line="240" w:lineRule="auto"/>
        <w:rPr>
          <w:rFonts w:ascii="Times New Roman" w:eastAsiaTheme="minorHAnsi" w:hAnsi="Times New Roman"/>
          <w:b/>
          <w:sz w:val="20"/>
          <w:szCs w:val="20"/>
        </w:rPr>
      </w:pPr>
      <w:r>
        <w:rPr>
          <w:rFonts w:ascii="Times New Roman" w:hAnsi="Times New Roman"/>
          <w:b/>
          <w:sz w:val="20"/>
        </w:rPr>
        <w:t>Annex 12 to the UL Rules of Study</w:t>
      </w:r>
    </w:p>
    <w:p w14:paraId="5145036F" w14:textId="77777777" w:rsidR="00E014BB" w:rsidRDefault="00E014BB" w:rsidP="00B36650">
      <w:pPr>
        <w:pStyle w:val="NormalnyWeb"/>
        <w:spacing w:before="0" w:beforeAutospacing="0" w:after="0" w:afterAutospacing="0"/>
        <w:jc w:val="center"/>
        <w:rPr>
          <w:rFonts w:ascii="Calibri" w:eastAsia="Times New Roman" w:hAnsi="Calibri" w:cs="Verdana"/>
          <w:color w:val="000000"/>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5013"/>
        <w:gridCol w:w="8087"/>
      </w:tblGrid>
      <w:tr w:rsidR="00F504F6" w:rsidRPr="00755EC6" w14:paraId="0F44B11A" w14:textId="77777777" w:rsidTr="00AD449D">
        <w:tc>
          <w:tcPr>
            <w:tcW w:w="1361" w:type="dxa"/>
            <w:shd w:val="clear" w:color="auto" w:fill="auto"/>
          </w:tcPr>
          <w:p w14:paraId="5FA19542"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Ref. ID</w:t>
            </w:r>
          </w:p>
        </w:tc>
        <w:tc>
          <w:tcPr>
            <w:tcW w:w="5013" w:type="dxa"/>
            <w:shd w:val="clear" w:color="auto" w:fill="auto"/>
          </w:tcPr>
          <w:p w14:paraId="54E8004F"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Applicability </w:t>
            </w:r>
          </w:p>
        </w:tc>
        <w:tc>
          <w:tcPr>
            <w:tcW w:w="8087" w:type="dxa"/>
            <w:shd w:val="clear" w:color="auto" w:fill="auto"/>
          </w:tcPr>
          <w:p w14:paraId="6360AFCA"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Faculty Regulations</w:t>
            </w:r>
          </w:p>
        </w:tc>
      </w:tr>
      <w:tr w:rsidR="00F504F6" w:rsidRPr="00755EC6" w14:paraId="29BF5C45" w14:textId="77777777" w:rsidTr="00AD449D">
        <w:tc>
          <w:tcPr>
            <w:tcW w:w="14461" w:type="dxa"/>
            <w:gridSpan w:val="3"/>
            <w:shd w:val="clear" w:color="auto" w:fill="auto"/>
          </w:tcPr>
          <w:p w14:paraId="594AE851"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Faculty of Management</w:t>
            </w:r>
          </w:p>
        </w:tc>
      </w:tr>
      <w:tr w:rsidR="00F504F6" w:rsidRPr="00755EC6" w14:paraId="47BC7D7F" w14:textId="77777777" w:rsidTr="00AD449D">
        <w:tc>
          <w:tcPr>
            <w:tcW w:w="1361" w:type="dxa"/>
            <w:shd w:val="clear" w:color="auto" w:fill="auto"/>
          </w:tcPr>
          <w:p w14:paraId="2D438BAC"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5(1)(b)</w:t>
            </w:r>
          </w:p>
        </w:tc>
        <w:tc>
          <w:tcPr>
            <w:tcW w:w="5013" w:type="dxa"/>
            <w:shd w:val="clear" w:color="auto" w:fill="auto"/>
          </w:tcPr>
          <w:p w14:paraId="13521FB3"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Rules for the implementation of the student’s obligation to participate in particular forms/modes of classes</w:t>
            </w:r>
          </w:p>
        </w:tc>
        <w:tc>
          <w:tcPr>
            <w:tcW w:w="8087" w:type="dxa"/>
            <w:shd w:val="clear" w:color="auto" w:fill="auto"/>
          </w:tcPr>
          <w:p w14:paraId="5096E42D" w14:textId="12AC0063" w:rsidR="00F504F6" w:rsidRPr="00C156B6" w:rsidRDefault="00F504F6" w:rsidP="00755EC6">
            <w:pPr>
              <w:spacing w:after="0" w:line="240" w:lineRule="auto"/>
              <w:ind w:right="485"/>
              <w:jc w:val="both"/>
              <w:rPr>
                <w:rFonts w:ascii="Times New Roman" w:hAnsi="Times New Roman"/>
                <w:sz w:val="20"/>
                <w:szCs w:val="20"/>
              </w:rPr>
            </w:pPr>
            <w:r>
              <w:rPr>
                <w:rFonts w:ascii="Times New Roman" w:hAnsi="Times New Roman"/>
                <w:sz w:val="20"/>
              </w:rPr>
              <w:t xml:space="preserve">It is obligatory for each student to attend every course class, irrespective of the class form or study year. The </w:t>
            </w:r>
            <w:r w:rsidR="00916259">
              <w:rPr>
                <w:rFonts w:ascii="Times New Roman" w:hAnsi="Times New Roman"/>
                <w:sz w:val="20"/>
              </w:rPr>
              <w:t>course leaders</w:t>
            </w:r>
            <w:r>
              <w:rPr>
                <w:rFonts w:ascii="Times New Roman" w:hAnsi="Times New Roman"/>
                <w:sz w:val="20"/>
              </w:rPr>
              <w:t xml:space="preserve"> are authorised to verify attendance in class and consider it a criterion when grading the course. The principles of the effect of attendance rates on course grading shall be established in the course</w:t>
            </w:r>
            <w:r w:rsidR="003F6DBF">
              <w:rPr>
                <w:rFonts w:ascii="Times New Roman" w:hAnsi="Times New Roman"/>
                <w:sz w:val="20"/>
              </w:rPr>
              <w:t xml:space="preserve"> description sheet </w:t>
            </w:r>
            <w:r>
              <w:rPr>
                <w:rFonts w:ascii="Times New Roman" w:hAnsi="Times New Roman"/>
                <w:sz w:val="20"/>
              </w:rPr>
              <w:t>and relayed to the students during their first course class.</w:t>
            </w:r>
          </w:p>
        </w:tc>
      </w:tr>
      <w:tr w:rsidR="00F504F6" w:rsidRPr="00755EC6" w14:paraId="33289CB4" w14:textId="77777777" w:rsidTr="00AD449D">
        <w:tc>
          <w:tcPr>
            <w:tcW w:w="1361" w:type="dxa"/>
            <w:shd w:val="clear" w:color="auto" w:fill="auto"/>
          </w:tcPr>
          <w:p w14:paraId="2527413D"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5(1)(c)</w:t>
            </w:r>
          </w:p>
        </w:tc>
        <w:tc>
          <w:tcPr>
            <w:tcW w:w="5013" w:type="dxa"/>
            <w:shd w:val="clear" w:color="auto" w:fill="auto"/>
          </w:tcPr>
          <w:p w14:paraId="6DFE7B4D"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Range and conditions for leading classes taught in a foreign language, for conducting knowledge and skills tests, diploma examinations, as well as for preparing Diploma Theses in a foreign language</w:t>
            </w:r>
          </w:p>
        </w:tc>
        <w:tc>
          <w:tcPr>
            <w:tcW w:w="8087" w:type="dxa"/>
            <w:shd w:val="clear" w:color="auto" w:fill="auto"/>
          </w:tcPr>
          <w:p w14:paraId="56CD3760" w14:textId="1BE333E5"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 xml:space="preserve">The teaching language is English in the study programmes of Business Management and Management and Finance at the Faculty of Management. This shall be construed that all teaching material, </w:t>
            </w:r>
            <w:r w:rsidR="005A1C09">
              <w:rPr>
                <w:rFonts w:ascii="Times New Roman" w:hAnsi="Times New Roman"/>
                <w:sz w:val="20"/>
              </w:rPr>
              <w:t>credits</w:t>
            </w:r>
            <w:r>
              <w:rPr>
                <w:rFonts w:ascii="Times New Roman" w:hAnsi="Times New Roman"/>
                <w:sz w:val="20"/>
              </w:rPr>
              <w:t>, and examinations are in English. The students of these fields shall deliver their Diploma Theses in English.</w:t>
            </w:r>
          </w:p>
          <w:p w14:paraId="19D24833" w14:textId="35B0E371"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Concerning other study programmes and specialities delivered at the Faculty of Management, the integration of courses delivered in foreign languages in the offer of studies shall be at the discretion of the Programme Manager</w:t>
            </w:r>
            <w:r w:rsidR="00916259">
              <w:rPr>
                <w:rFonts w:ascii="Times New Roman" w:hAnsi="Times New Roman"/>
                <w:sz w:val="20"/>
              </w:rPr>
              <w:t>, and in the case of a specialty -</w:t>
            </w:r>
            <w:r>
              <w:rPr>
                <w:rFonts w:ascii="Times New Roman" w:hAnsi="Times New Roman"/>
                <w:sz w:val="20"/>
              </w:rPr>
              <w:t xml:space="preserve"> on request of the relevant Speciality Manager. The courses delivered in foreign languages are integrated in the offer of studies shall follow the general regulations </w:t>
            </w:r>
            <w:r w:rsidR="00106CB3">
              <w:rPr>
                <w:rFonts w:ascii="Times New Roman" w:hAnsi="Times New Roman"/>
                <w:sz w:val="20"/>
              </w:rPr>
              <w:t>in force</w:t>
            </w:r>
            <w:r>
              <w:rPr>
                <w:rFonts w:ascii="Times New Roman" w:hAnsi="Times New Roman"/>
                <w:sz w:val="20"/>
              </w:rPr>
              <w:t xml:space="preserve"> at the Faculty of Management. The Faculty Council may permit students pursuing their studies in Polish to deliver Dimploma Theses in foreign languages. The mandatory precondition of this permission is an oral consent from the relevant Thesis Supervisor.</w:t>
            </w:r>
            <w:r>
              <w:rPr>
                <w:rFonts w:ascii="Times New Roman" w:hAnsi="Times New Roman"/>
                <w:sz w:val="20"/>
              </w:rPr>
              <w:tab/>
            </w:r>
          </w:p>
        </w:tc>
      </w:tr>
      <w:tr w:rsidR="00F504F6" w:rsidRPr="00755EC6" w14:paraId="0A874B40" w14:textId="77777777" w:rsidTr="00AD449D">
        <w:tc>
          <w:tcPr>
            <w:tcW w:w="1361" w:type="dxa"/>
            <w:shd w:val="clear" w:color="auto" w:fill="auto"/>
          </w:tcPr>
          <w:p w14:paraId="38106681"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5(1)(d)</w:t>
            </w:r>
          </w:p>
        </w:tc>
        <w:tc>
          <w:tcPr>
            <w:tcW w:w="5013" w:type="dxa"/>
            <w:shd w:val="clear" w:color="auto" w:fill="auto"/>
          </w:tcPr>
          <w:p w14:paraId="683936C8"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Length of grading period—either semesterly or yearly—used with uniform (direct) Master’s degree programmes or extramural (weekend, evening) studies</w:t>
            </w:r>
          </w:p>
        </w:tc>
        <w:tc>
          <w:tcPr>
            <w:tcW w:w="8087" w:type="dxa"/>
            <w:shd w:val="clear" w:color="auto" w:fill="auto"/>
          </w:tcPr>
          <w:p w14:paraId="75F78147" w14:textId="77777777"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The grading period of full-time and extramural studies shall be one semester. In reasonably exceptional cases, the Dean may consent to replace it with an annual grading period.</w:t>
            </w:r>
          </w:p>
          <w:p w14:paraId="33276CD7" w14:textId="77777777" w:rsidR="00F504F6" w:rsidRPr="00C156B6" w:rsidRDefault="00F504F6" w:rsidP="00755EC6">
            <w:pPr>
              <w:spacing w:after="0" w:line="240" w:lineRule="auto"/>
              <w:ind w:right="432"/>
              <w:jc w:val="both"/>
              <w:rPr>
                <w:rFonts w:ascii="Times New Roman" w:hAnsi="Times New Roman"/>
                <w:sz w:val="20"/>
                <w:szCs w:val="20"/>
                <w:lang w:eastAsia="pl-PL"/>
              </w:rPr>
            </w:pPr>
          </w:p>
        </w:tc>
      </w:tr>
      <w:tr w:rsidR="00F504F6" w:rsidRPr="00755EC6" w14:paraId="21C905FD" w14:textId="77777777" w:rsidTr="00AD449D">
        <w:tc>
          <w:tcPr>
            <w:tcW w:w="1361" w:type="dxa"/>
            <w:shd w:val="clear" w:color="auto" w:fill="auto"/>
          </w:tcPr>
          <w:p w14:paraId="035E933F"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5(1)(e)</w:t>
            </w:r>
          </w:p>
        </w:tc>
        <w:tc>
          <w:tcPr>
            <w:tcW w:w="5013" w:type="dxa"/>
            <w:shd w:val="clear" w:color="auto" w:fill="auto"/>
          </w:tcPr>
          <w:p w14:paraId="5E4385D1"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Rules of acceptability and conditions for retaking the first semester or the first year of study</w:t>
            </w:r>
          </w:p>
        </w:tc>
        <w:tc>
          <w:tcPr>
            <w:tcW w:w="8087" w:type="dxa"/>
            <w:shd w:val="clear" w:color="auto" w:fill="auto"/>
          </w:tcPr>
          <w:p w14:paraId="5F718A07" w14:textId="6D24DE73"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 xml:space="preserve">A student (pursuing full-time or extramural studies) who failed to have their first or second semester credited and be promoted from, shall be removed from the students’ register and may start the studies again only if the repeated </w:t>
            </w:r>
            <w:r w:rsidR="003C1504">
              <w:rPr>
                <w:rFonts w:ascii="Times New Roman" w:hAnsi="Times New Roman"/>
                <w:sz w:val="20"/>
              </w:rPr>
              <w:t>recruitment</w:t>
            </w:r>
            <w:r>
              <w:rPr>
                <w:rFonts w:ascii="Times New Roman" w:hAnsi="Times New Roman"/>
                <w:sz w:val="20"/>
              </w:rPr>
              <w:t xml:space="preserve"> procedure is passed.</w:t>
            </w:r>
          </w:p>
        </w:tc>
      </w:tr>
      <w:tr w:rsidR="00F504F6" w:rsidRPr="00755EC6" w14:paraId="30F8A8E6" w14:textId="77777777" w:rsidTr="00AD449D">
        <w:tc>
          <w:tcPr>
            <w:tcW w:w="1361" w:type="dxa"/>
            <w:shd w:val="clear" w:color="auto" w:fill="auto"/>
          </w:tcPr>
          <w:p w14:paraId="37F76D6A"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5(1)(f)</w:t>
            </w:r>
          </w:p>
        </w:tc>
        <w:tc>
          <w:tcPr>
            <w:tcW w:w="5013" w:type="dxa"/>
            <w:shd w:val="clear" w:color="auto" w:fill="auto"/>
          </w:tcPr>
          <w:p w14:paraId="2A2D3F52"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Maximum number of teaching hours and the maximum number of examinations per academic year</w:t>
            </w:r>
          </w:p>
        </w:tc>
        <w:tc>
          <w:tcPr>
            <w:tcW w:w="8087" w:type="dxa"/>
            <w:shd w:val="clear" w:color="auto" w:fill="auto"/>
          </w:tcPr>
          <w:p w14:paraId="24E2EF07" w14:textId="77777777" w:rsidR="00F504F6" w:rsidRPr="00C156B6" w:rsidRDefault="00F504F6" w:rsidP="00755EC6">
            <w:pPr>
              <w:spacing w:after="0" w:line="240" w:lineRule="auto"/>
              <w:ind w:right="571"/>
              <w:jc w:val="both"/>
              <w:rPr>
                <w:rFonts w:ascii="Times New Roman" w:hAnsi="Times New Roman"/>
                <w:sz w:val="20"/>
                <w:szCs w:val="20"/>
              </w:rPr>
            </w:pPr>
            <w:r>
              <w:rPr>
                <w:rFonts w:ascii="Times New Roman" w:hAnsi="Times New Roman"/>
                <w:sz w:val="20"/>
              </w:rPr>
              <w:t>As specified in the study schedule; the maximum number of teaching hours shall be 720 hours per annum for full-time studies and 550 hours per annum for extramural studies, whereas the maximum number of examinations shall be 8 per academic year.</w:t>
            </w:r>
          </w:p>
        </w:tc>
      </w:tr>
      <w:tr w:rsidR="00F504F6" w:rsidRPr="00755EC6" w14:paraId="09010088" w14:textId="77777777" w:rsidTr="00AD449D">
        <w:tc>
          <w:tcPr>
            <w:tcW w:w="1361" w:type="dxa"/>
            <w:shd w:val="clear" w:color="auto" w:fill="auto"/>
          </w:tcPr>
          <w:p w14:paraId="4E7452B9"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5(1)(g)</w:t>
            </w:r>
          </w:p>
        </w:tc>
        <w:tc>
          <w:tcPr>
            <w:tcW w:w="5013" w:type="dxa"/>
            <w:shd w:val="clear" w:color="auto" w:fill="auto"/>
          </w:tcPr>
          <w:p w14:paraId="5F9674DF"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Student’s minimum grade average of all courses taken to date of the current study pursuit for the eligibility of application for an individually arranged study schedule and curriculum (IPS)</w:t>
            </w:r>
          </w:p>
        </w:tc>
        <w:tc>
          <w:tcPr>
            <w:tcW w:w="8087" w:type="dxa"/>
            <w:shd w:val="clear" w:color="auto" w:fill="auto"/>
          </w:tcPr>
          <w:p w14:paraId="2A0E7DE8" w14:textId="77777777" w:rsidR="00F504F6" w:rsidRPr="00C156B6" w:rsidRDefault="00F504F6" w:rsidP="00755EC6">
            <w:pPr>
              <w:spacing w:after="0" w:line="240" w:lineRule="auto"/>
              <w:ind w:right="571"/>
              <w:jc w:val="both"/>
              <w:rPr>
                <w:rFonts w:ascii="Times New Roman" w:eastAsia="Calibri" w:hAnsi="Times New Roman"/>
                <w:sz w:val="20"/>
                <w:szCs w:val="20"/>
              </w:rPr>
            </w:pPr>
            <w:r>
              <w:rPr>
                <w:rFonts w:ascii="Times New Roman" w:hAnsi="Times New Roman"/>
                <w:sz w:val="20"/>
              </w:rPr>
              <w:t>A student whose minimum grade average (of all semesters credited to date) is 4.50 or higher becomes eligible for an Individually Arranged Study Schedule and Curriculum (IPS).</w:t>
            </w:r>
          </w:p>
        </w:tc>
      </w:tr>
      <w:tr w:rsidR="00F504F6" w:rsidRPr="00755EC6" w14:paraId="3AE72A69" w14:textId="77777777" w:rsidTr="00AD449D">
        <w:tc>
          <w:tcPr>
            <w:tcW w:w="1361" w:type="dxa"/>
            <w:shd w:val="clear" w:color="auto" w:fill="auto"/>
          </w:tcPr>
          <w:p w14:paraId="067E0D51"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5(1)(h)</w:t>
            </w:r>
          </w:p>
        </w:tc>
        <w:tc>
          <w:tcPr>
            <w:tcW w:w="5013" w:type="dxa"/>
            <w:shd w:val="clear" w:color="auto" w:fill="auto"/>
          </w:tcPr>
          <w:p w14:paraId="2CD1A0D6"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Criteria for acceptability and the procedure of processing the student’s appeal from the decision on refusal to credit a course/course component</w:t>
            </w:r>
          </w:p>
        </w:tc>
        <w:tc>
          <w:tcPr>
            <w:tcW w:w="8087" w:type="dxa"/>
            <w:shd w:val="clear" w:color="auto" w:fill="auto"/>
          </w:tcPr>
          <w:p w14:paraId="0114055E" w14:textId="27499032"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 xml:space="preserve">Whenever a student’s course is failed, the Dean may order a </w:t>
            </w:r>
            <w:r w:rsidR="00106CB3">
              <w:rPr>
                <w:rFonts w:ascii="Times New Roman" w:hAnsi="Times New Roman"/>
                <w:sz w:val="20"/>
              </w:rPr>
              <w:t xml:space="preserve">conditional </w:t>
            </w:r>
            <w:r w:rsidR="00BE55BE">
              <w:rPr>
                <w:rFonts w:ascii="Times New Roman" w:hAnsi="Times New Roman"/>
                <w:sz w:val="20"/>
              </w:rPr>
              <w:t>promotion</w:t>
            </w:r>
            <w:r w:rsidR="00106CB3">
              <w:rPr>
                <w:rFonts w:ascii="Times New Roman" w:hAnsi="Times New Roman"/>
                <w:sz w:val="20"/>
              </w:rPr>
              <w:t xml:space="preserve"> before an examination board</w:t>
            </w:r>
            <w:r>
              <w:rPr>
                <w:rFonts w:ascii="Times New Roman" w:hAnsi="Times New Roman"/>
                <w:sz w:val="20"/>
              </w:rPr>
              <w:t xml:space="preserve"> if the student serves such request in 7 days from the publication of results and the request is reasonable by circumstances partial to a non-compliance in the </w:t>
            </w:r>
            <w:r w:rsidR="00106CB3">
              <w:rPr>
                <w:rFonts w:ascii="Times New Roman" w:hAnsi="Times New Roman"/>
                <w:sz w:val="20"/>
              </w:rPr>
              <w:t>crediting</w:t>
            </w:r>
            <w:r>
              <w:rPr>
                <w:rFonts w:ascii="Times New Roman" w:hAnsi="Times New Roman"/>
                <w:sz w:val="20"/>
              </w:rPr>
              <w:t xml:space="preserve"> process.</w:t>
            </w:r>
          </w:p>
          <w:p w14:paraId="781E8F88" w14:textId="77777777"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lastRenderedPageBreak/>
              <w:t>2. The Dean, acting in coordination of the relevant Programme Manager, will decide to appoint a board to test the student’s knowledge. The board members shall include:</w:t>
            </w:r>
          </w:p>
          <w:p w14:paraId="477550F0" w14:textId="535C6D7A"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(a) Programme Manager;</w:t>
            </w:r>
          </w:p>
          <w:p w14:paraId="7AAEE837" w14:textId="5705CD87"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 xml:space="preserve">(b) relevant course </w:t>
            </w:r>
            <w:r w:rsidR="00106CB3">
              <w:rPr>
                <w:rFonts w:ascii="Times New Roman" w:hAnsi="Times New Roman"/>
                <w:sz w:val="20"/>
              </w:rPr>
              <w:t>leader</w:t>
            </w:r>
            <w:r>
              <w:rPr>
                <w:rFonts w:ascii="Times New Roman" w:hAnsi="Times New Roman"/>
                <w:sz w:val="20"/>
              </w:rPr>
              <w:t>;</w:t>
            </w:r>
          </w:p>
          <w:p w14:paraId="230F8ECD" w14:textId="17424807"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 xml:space="preserve">(c) second specialist of the course being </w:t>
            </w:r>
            <w:r w:rsidR="00BE55BE">
              <w:rPr>
                <w:rFonts w:ascii="Times New Roman" w:hAnsi="Times New Roman"/>
                <w:sz w:val="20"/>
              </w:rPr>
              <w:t>credited</w:t>
            </w:r>
            <w:r>
              <w:rPr>
                <w:rFonts w:ascii="Times New Roman" w:hAnsi="Times New Roman"/>
                <w:sz w:val="20"/>
              </w:rPr>
              <w:t>.</w:t>
            </w:r>
          </w:p>
          <w:p w14:paraId="26E61C06" w14:textId="4DDD177C"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3. The board may also include a representative from the Students’</w:t>
            </w:r>
            <w:r w:rsidR="00EB2E46">
              <w:rPr>
                <w:rFonts w:ascii="Times New Roman" w:hAnsi="Times New Roman"/>
                <w:sz w:val="20"/>
              </w:rPr>
              <w:t xml:space="preserve"> </w:t>
            </w:r>
            <w:r>
              <w:rPr>
                <w:rFonts w:ascii="Times New Roman" w:hAnsi="Times New Roman"/>
                <w:sz w:val="20"/>
              </w:rPr>
              <w:t xml:space="preserve">Government as an observing witness. </w:t>
            </w:r>
            <w:r w:rsidR="00E40452">
              <w:rPr>
                <w:rFonts w:ascii="Times New Roman" w:hAnsi="Times New Roman"/>
                <w:sz w:val="20"/>
              </w:rPr>
              <w:t>C</w:t>
            </w:r>
            <w:r w:rsidR="00EB2E46">
              <w:rPr>
                <w:rFonts w:ascii="Times New Roman" w:hAnsi="Times New Roman"/>
                <w:sz w:val="20"/>
              </w:rPr>
              <w:t>redit</w:t>
            </w:r>
            <w:r w:rsidR="00E40452">
              <w:rPr>
                <w:rFonts w:ascii="Times New Roman" w:hAnsi="Times New Roman"/>
                <w:sz w:val="20"/>
              </w:rPr>
              <w:t>ing</w:t>
            </w:r>
            <w:r w:rsidR="003C1504">
              <w:rPr>
                <w:rFonts w:ascii="Times New Roman" w:hAnsi="Times New Roman"/>
                <w:sz w:val="20"/>
              </w:rPr>
              <w:t xml:space="preserve"> before an examination board</w:t>
            </w:r>
            <w:r>
              <w:rPr>
                <w:rFonts w:ascii="Times New Roman" w:hAnsi="Times New Roman"/>
                <w:sz w:val="20"/>
              </w:rPr>
              <w:t xml:space="preserve"> can proceed without the observing witness from the Student’s Government. In 7 days after the </w:t>
            </w:r>
            <w:r w:rsidR="00EB2E46">
              <w:rPr>
                <w:rFonts w:ascii="Times New Roman" w:hAnsi="Times New Roman"/>
                <w:sz w:val="20"/>
              </w:rPr>
              <w:t>obtaining a credit</w:t>
            </w:r>
            <w:r w:rsidR="003C1504">
              <w:rPr>
                <w:rFonts w:ascii="Times New Roman" w:hAnsi="Times New Roman"/>
                <w:sz w:val="20"/>
              </w:rPr>
              <w:t xml:space="preserve"> before an examination board</w:t>
            </w:r>
            <w:r>
              <w:rPr>
                <w:rFonts w:ascii="Times New Roman" w:hAnsi="Times New Roman"/>
                <w:sz w:val="20"/>
              </w:rPr>
              <w:t>, the relevant Course Coordinator shall enter the student’s grade from the entire course in the USOSweb.</w:t>
            </w:r>
          </w:p>
          <w:p w14:paraId="64CDEBF1" w14:textId="7DAD4179"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 xml:space="preserve">4. The </w:t>
            </w:r>
            <w:r w:rsidR="00EB2E46">
              <w:rPr>
                <w:rFonts w:ascii="Times New Roman" w:hAnsi="Times New Roman"/>
                <w:sz w:val="20"/>
              </w:rPr>
              <w:t>crediting procedure</w:t>
            </w:r>
            <w:r w:rsidR="003C1504">
              <w:rPr>
                <w:rFonts w:ascii="Times New Roman" w:hAnsi="Times New Roman"/>
                <w:sz w:val="20"/>
              </w:rPr>
              <w:t xml:space="preserve"> before an examination board</w:t>
            </w:r>
            <w:r>
              <w:rPr>
                <w:rFonts w:ascii="Times New Roman" w:hAnsi="Times New Roman"/>
                <w:sz w:val="20"/>
              </w:rPr>
              <w:t xml:space="preserve"> of the student shall be proceeded </w:t>
            </w:r>
            <w:r w:rsidR="006B21EC">
              <w:rPr>
                <w:rFonts w:ascii="Times New Roman" w:hAnsi="Times New Roman"/>
                <w:sz w:val="20"/>
              </w:rPr>
              <w:t>within</w:t>
            </w:r>
            <w:r>
              <w:rPr>
                <w:rFonts w:ascii="Times New Roman" w:hAnsi="Times New Roman"/>
                <w:sz w:val="20"/>
              </w:rPr>
              <w:t xml:space="preserve"> 10 days from the Dean’s decision to proceed.</w:t>
            </w:r>
          </w:p>
          <w:p w14:paraId="4AE16D9E" w14:textId="45F6B78F"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5. The result shall be decided by the majority of vote</w:t>
            </w:r>
            <w:r w:rsidR="00106CB3">
              <w:rPr>
                <w:rFonts w:ascii="Times New Roman" w:hAnsi="Times New Roman"/>
                <w:sz w:val="20"/>
              </w:rPr>
              <w:t>s</w:t>
            </w:r>
            <w:r>
              <w:rPr>
                <w:rFonts w:ascii="Times New Roman" w:hAnsi="Times New Roman"/>
                <w:sz w:val="20"/>
              </w:rPr>
              <w:t xml:space="preserve"> </w:t>
            </w:r>
            <w:r w:rsidR="00EB2E46">
              <w:rPr>
                <w:rFonts w:ascii="Times New Roman" w:hAnsi="Times New Roman"/>
                <w:sz w:val="20"/>
              </w:rPr>
              <w:t>of</w:t>
            </w:r>
            <w:r>
              <w:rPr>
                <w:rFonts w:ascii="Times New Roman" w:hAnsi="Times New Roman"/>
                <w:sz w:val="20"/>
              </w:rPr>
              <w:t xml:space="preserve"> the board</w:t>
            </w:r>
            <w:r w:rsidR="00EB2E46">
              <w:rPr>
                <w:rFonts w:ascii="Times New Roman" w:hAnsi="Times New Roman"/>
                <w:sz w:val="20"/>
              </w:rPr>
              <w:t xml:space="preserve"> members</w:t>
            </w:r>
            <w:r>
              <w:rPr>
                <w:rFonts w:ascii="Times New Roman" w:hAnsi="Times New Roman"/>
                <w:sz w:val="20"/>
              </w:rPr>
              <w:t>; if the number of votes is equal on both sides, the board chair</w:t>
            </w:r>
            <w:r w:rsidR="00106CB3">
              <w:rPr>
                <w:rFonts w:ascii="Times New Roman" w:hAnsi="Times New Roman"/>
                <w:sz w:val="20"/>
              </w:rPr>
              <w:t>person</w:t>
            </w:r>
            <w:r>
              <w:rPr>
                <w:rFonts w:ascii="Times New Roman" w:hAnsi="Times New Roman"/>
                <w:sz w:val="20"/>
              </w:rPr>
              <w:t>’s vote shall be conclusive.</w:t>
            </w:r>
          </w:p>
          <w:p w14:paraId="453723E9" w14:textId="5FF8A7DF"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6. The grade</w:t>
            </w:r>
            <w:r w:rsidR="00EC36EB">
              <w:rPr>
                <w:rFonts w:ascii="Times New Roman" w:hAnsi="Times New Roman"/>
                <w:sz w:val="20"/>
              </w:rPr>
              <w:t xml:space="preserve"> obtained before an examination board</w:t>
            </w:r>
            <w:r>
              <w:rPr>
                <w:rFonts w:ascii="Times New Roman" w:hAnsi="Times New Roman"/>
                <w:sz w:val="20"/>
              </w:rPr>
              <w:t xml:space="preserve"> shall replace the grade the student has appealed from.</w:t>
            </w:r>
          </w:p>
          <w:p w14:paraId="6F696F7E" w14:textId="4B158909"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 xml:space="preserve">7. All matters not </w:t>
            </w:r>
            <w:r w:rsidR="00EC36EB">
              <w:rPr>
                <w:rFonts w:ascii="Times New Roman" w:hAnsi="Times New Roman"/>
                <w:sz w:val="20"/>
              </w:rPr>
              <w:t xml:space="preserve">governed </w:t>
            </w:r>
            <w:r>
              <w:rPr>
                <w:rFonts w:ascii="Times New Roman" w:hAnsi="Times New Roman"/>
                <w:sz w:val="20"/>
              </w:rPr>
              <w:t>in th</w:t>
            </w:r>
            <w:r w:rsidR="00EC36EB">
              <w:rPr>
                <w:rFonts w:ascii="Times New Roman" w:hAnsi="Times New Roman"/>
                <w:sz w:val="20"/>
              </w:rPr>
              <w:t>e hereby</w:t>
            </w:r>
            <w:r>
              <w:rPr>
                <w:rFonts w:ascii="Times New Roman" w:hAnsi="Times New Roman"/>
                <w:sz w:val="20"/>
              </w:rPr>
              <w:t xml:space="preserve"> Rules shall be at the discretion of the Dean. Whenever reasonably justified, the Dean has the authority to appoint another date of </w:t>
            </w:r>
            <w:r w:rsidR="00EC36EB">
              <w:rPr>
                <w:rFonts w:ascii="Times New Roman" w:hAnsi="Times New Roman"/>
                <w:sz w:val="20"/>
              </w:rPr>
              <w:t xml:space="preserve">crediting a </w:t>
            </w:r>
            <w:r>
              <w:rPr>
                <w:rFonts w:ascii="Times New Roman" w:hAnsi="Times New Roman"/>
                <w:sz w:val="20"/>
              </w:rPr>
              <w:t xml:space="preserve">course which </w:t>
            </w:r>
            <w:r w:rsidR="00EC36EB">
              <w:rPr>
                <w:rFonts w:ascii="Times New Roman" w:hAnsi="Times New Roman"/>
                <w:sz w:val="20"/>
              </w:rPr>
              <w:t xml:space="preserve">does not end up with </w:t>
            </w:r>
            <w:r>
              <w:rPr>
                <w:rFonts w:ascii="Times New Roman" w:hAnsi="Times New Roman"/>
                <w:sz w:val="20"/>
              </w:rPr>
              <w:t>examination.</w:t>
            </w:r>
          </w:p>
        </w:tc>
      </w:tr>
      <w:tr w:rsidR="00F504F6" w:rsidRPr="00755EC6" w14:paraId="29A92641" w14:textId="77777777" w:rsidTr="00AD449D">
        <w:tc>
          <w:tcPr>
            <w:tcW w:w="1361" w:type="dxa"/>
            <w:shd w:val="clear" w:color="auto" w:fill="auto"/>
          </w:tcPr>
          <w:p w14:paraId="5152DEE0"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lastRenderedPageBreak/>
              <w:t xml:space="preserve">§ </w:t>
            </w:r>
            <w:r>
              <w:rPr>
                <w:rFonts w:ascii="Times New Roman" w:hAnsi="Times New Roman"/>
                <w:b/>
                <w:color w:val="000000"/>
                <w:sz w:val="20"/>
              </w:rPr>
              <w:t>5(1)(i)</w:t>
            </w:r>
          </w:p>
        </w:tc>
        <w:tc>
          <w:tcPr>
            <w:tcW w:w="5013" w:type="dxa"/>
            <w:shd w:val="clear" w:color="auto" w:fill="auto"/>
          </w:tcPr>
          <w:p w14:paraId="733D2451"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Mandatory format of diploma thesis, subject to Section § 52(2)</w:t>
            </w:r>
          </w:p>
        </w:tc>
        <w:tc>
          <w:tcPr>
            <w:tcW w:w="8087" w:type="dxa"/>
            <w:shd w:val="clear" w:color="auto" w:fill="auto"/>
          </w:tcPr>
          <w:p w14:paraId="0BA73BAE" w14:textId="4E5AE0B8"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The specifics of the Diploma Thesis format are established in the UL Faculty of Management’s Principles of Diploma Award</w:t>
            </w:r>
            <w:r w:rsidR="00BE55BE">
              <w:rPr>
                <w:rFonts w:ascii="Times New Roman" w:hAnsi="Times New Roman"/>
                <w:sz w:val="20"/>
              </w:rPr>
              <w:t xml:space="preserve"> in force</w:t>
            </w:r>
            <w:r>
              <w:rPr>
                <w:rFonts w:ascii="Times New Roman" w:hAnsi="Times New Roman"/>
                <w:sz w:val="20"/>
              </w:rPr>
              <w:t>, approved by the UL Faculty of Management Council.</w:t>
            </w:r>
          </w:p>
        </w:tc>
      </w:tr>
      <w:tr w:rsidR="00F504F6" w:rsidRPr="00755EC6" w14:paraId="70A5A55F" w14:textId="77777777" w:rsidTr="00AD449D">
        <w:tc>
          <w:tcPr>
            <w:tcW w:w="1361" w:type="dxa"/>
            <w:shd w:val="clear" w:color="auto" w:fill="auto"/>
          </w:tcPr>
          <w:p w14:paraId="592D4D40" w14:textId="77777777" w:rsidR="00F504F6" w:rsidRPr="00C156B6" w:rsidRDefault="00F504F6" w:rsidP="00755EC6">
            <w:pPr>
              <w:spacing w:after="0" w:line="240" w:lineRule="auto"/>
              <w:jc w:val="center"/>
              <w:rPr>
                <w:rFonts w:ascii="Times New Roman" w:eastAsia="Calibri" w:hAnsi="Times New Roman"/>
                <w:b/>
                <w:sz w:val="20"/>
                <w:szCs w:val="20"/>
              </w:rPr>
            </w:pPr>
            <w:bookmarkStart w:id="0" w:name="_Hlk67505616"/>
            <w:r>
              <w:rPr>
                <w:rFonts w:ascii="Times New Roman" w:hAnsi="Times New Roman"/>
                <w:b/>
                <w:sz w:val="20"/>
              </w:rPr>
              <w:t xml:space="preserve">§ </w:t>
            </w:r>
            <w:r>
              <w:rPr>
                <w:rFonts w:ascii="Times New Roman" w:hAnsi="Times New Roman"/>
                <w:b/>
                <w:color w:val="000000"/>
                <w:sz w:val="20"/>
              </w:rPr>
              <w:t>5(1)(j)</w:t>
            </w:r>
          </w:p>
        </w:tc>
        <w:tc>
          <w:tcPr>
            <w:tcW w:w="5013" w:type="dxa"/>
            <w:shd w:val="clear" w:color="auto" w:fill="auto"/>
          </w:tcPr>
          <w:p w14:paraId="39F96E96"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Scope of examination requirements for the diploma examination</w:t>
            </w:r>
          </w:p>
        </w:tc>
        <w:tc>
          <w:tcPr>
            <w:tcW w:w="8087" w:type="dxa"/>
            <w:shd w:val="clear" w:color="auto" w:fill="auto"/>
          </w:tcPr>
          <w:p w14:paraId="31143E45"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The specific provisions for the procedure of Master’s/Bachelor’s examination and the list of current examination questions are established in the UL Faculty of Management’s Principles of Diploma Award, approved by the UL Faculty of Management Council.</w:t>
            </w:r>
          </w:p>
        </w:tc>
      </w:tr>
      <w:tr w:rsidR="00F504F6" w:rsidRPr="00755EC6" w14:paraId="46311DC2" w14:textId="77777777" w:rsidTr="00AD449D">
        <w:tc>
          <w:tcPr>
            <w:tcW w:w="1361" w:type="dxa"/>
            <w:shd w:val="clear" w:color="auto" w:fill="auto"/>
          </w:tcPr>
          <w:p w14:paraId="1DC61238"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5(1)(k)</w:t>
            </w:r>
          </w:p>
        </w:tc>
        <w:tc>
          <w:tcPr>
            <w:tcW w:w="5013" w:type="dxa"/>
            <w:shd w:val="clear" w:color="auto" w:fill="auto"/>
          </w:tcPr>
          <w:p w14:paraId="52B5A69D"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Procedure for conducting open diploma examinations</w:t>
            </w:r>
          </w:p>
        </w:tc>
        <w:tc>
          <w:tcPr>
            <w:tcW w:w="8087" w:type="dxa"/>
            <w:shd w:val="clear" w:color="auto" w:fill="auto"/>
          </w:tcPr>
          <w:p w14:paraId="1DC5BEB0" w14:textId="054D1F50"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No open diploma examinations are provided at the UL Faculty of Management.</w:t>
            </w:r>
            <w:r w:rsidR="006B21EC">
              <w:rPr>
                <w:rFonts w:ascii="Times New Roman" w:hAnsi="Times New Roman"/>
                <w:sz w:val="20"/>
              </w:rPr>
              <w:t xml:space="preserve"> </w:t>
            </w:r>
          </w:p>
        </w:tc>
      </w:tr>
      <w:bookmarkEnd w:id="0"/>
      <w:tr w:rsidR="00F504F6" w:rsidRPr="00755EC6" w14:paraId="7EB17CB5" w14:textId="77777777" w:rsidTr="00AD449D">
        <w:tc>
          <w:tcPr>
            <w:tcW w:w="1361" w:type="dxa"/>
            <w:shd w:val="clear" w:color="auto" w:fill="auto"/>
          </w:tcPr>
          <w:p w14:paraId="654F81AD"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5(2)(a)</w:t>
            </w:r>
          </w:p>
        </w:tc>
        <w:tc>
          <w:tcPr>
            <w:tcW w:w="5013" w:type="dxa"/>
            <w:shd w:val="clear" w:color="auto" w:fill="auto"/>
          </w:tcPr>
          <w:p w14:paraId="362EC0C3" w14:textId="77777777" w:rsidR="00F504F6" w:rsidRPr="00C156B6" w:rsidRDefault="00F504F6" w:rsidP="00755EC6">
            <w:pPr>
              <w:spacing w:after="0" w:line="240" w:lineRule="auto"/>
              <w:rPr>
                <w:rFonts w:ascii="Times New Roman" w:eastAsia="Calibri" w:hAnsi="Times New Roman"/>
                <w:color w:val="FF0000"/>
                <w:sz w:val="20"/>
                <w:szCs w:val="20"/>
              </w:rPr>
            </w:pPr>
            <w:r>
              <w:rPr>
                <w:rFonts w:ascii="Times New Roman" w:hAnsi="Times New Roman"/>
                <w:sz w:val="20"/>
              </w:rPr>
              <w:t>Maximum number of semester/study year repetitions, including repetition by resumption, per study programme at the Faculty</w:t>
            </w:r>
          </w:p>
          <w:p w14:paraId="3AA5B66E" w14:textId="77777777" w:rsidR="00F504F6" w:rsidRPr="00C156B6" w:rsidRDefault="00F504F6" w:rsidP="00755EC6">
            <w:pPr>
              <w:spacing w:after="0" w:line="240" w:lineRule="auto"/>
              <w:rPr>
                <w:rFonts w:ascii="Times New Roman" w:eastAsia="Calibri" w:hAnsi="Times New Roman"/>
                <w:sz w:val="20"/>
                <w:szCs w:val="20"/>
              </w:rPr>
            </w:pPr>
          </w:p>
        </w:tc>
        <w:tc>
          <w:tcPr>
            <w:tcW w:w="8087" w:type="dxa"/>
            <w:shd w:val="clear" w:color="auto" w:fill="auto"/>
          </w:tcPr>
          <w:p w14:paraId="02547FA5" w14:textId="2CFE6373"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Each student (pursuing full-time or extramural studies) may repeat one semester only over the entire pursuit of studies. If a semester is failed and the right to repeat has been exhausted, the student shall be removed from the students’ register and may only continue to study by resumption (with consideration of the curricul</w:t>
            </w:r>
            <w:r w:rsidR="00A61878">
              <w:rPr>
                <w:rFonts w:ascii="Times New Roman" w:hAnsi="Times New Roman"/>
                <w:sz w:val="20"/>
              </w:rPr>
              <w:t>ar</w:t>
            </w:r>
            <w:r>
              <w:rPr>
                <w:rFonts w:ascii="Times New Roman" w:hAnsi="Times New Roman"/>
                <w:sz w:val="20"/>
              </w:rPr>
              <w:t xml:space="preserve"> differences, if any occur) or by repeated </w:t>
            </w:r>
            <w:r w:rsidR="00F84EEB">
              <w:rPr>
                <w:rFonts w:ascii="Times New Roman" w:hAnsi="Times New Roman"/>
                <w:sz w:val="20"/>
              </w:rPr>
              <w:t>recruitment procedure</w:t>
            </w:r>
            <w:r>
              <w:rPr>
                <w:rFonts w:ascii="Times New Roman" w:hAnsi="Times New Roman"/>
                <w:sz w:val="20"/>
              </w:rPr>
              <w:t xml:space="preserve">. </w:t>
            </w:r>
            <w:r>
              <w:rPr>
                <w:rFonts w:ascii="Times New Roman" w:hAnsi="Times New Roman"/>
                <w:b/>
                <w:sz w:val="20"/>
              </w:rPr>
              <w:t>A student may elect resumption only once per study programme</w:t>
            </w:r>
            <w:r>
              <w:rPr>
                <w:rFonts w:ascii="Times New Roman" w:hAnsi="Times New Roman"/>
                <w:color w:val="FF0000"/>
                <w:sz w:val="20"/>
              </w:rPr>
              <w:t xml:space="preserve">. </w:t>
            </w:r>
            <w:r>
              <w:rPr>
                <w:rFonts w:ascii="Times New Roman" w:hAnsi="Times New Roman"/>
                <w:sz w:val="20"/>
              </w:rPr>
              <w:t>The determination of exhaustion of the resumption limit for the study programme will only be based on the resumptions used from the 2021/2022 winter semester and later. Whenever a study curriculum is delivered in a single teaching cycle or the study programme is not resumed for another cycle, the student cannot repeat the semester of the same programme. In this case, the Faculty can ensure continued studies on the general terms and conditions and from the current offer of study programmes at the Faculty. The decision shall be at the discretion of the Dean.</w:t>
            </w:r>
          </w:p>
        </w:tc>
      </w:tr>
      <w:tr w:rsidR="00F504F6" w:rsidRPr="00755EC6" w14:paraId="0E3BAA73" w14:textId="77777777" w:rsidTr="00AD449D">
        <w:tc>
          <w:tcPr>
            <w:tcW w:w="1361" w:type="dxa"/>
            <w:shd w:val="clear" w:color="auto" w:fill="auto"/>
          </w:tcPr>
          <w:p w14:paraId="7A0A2C8E"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5(2)(b)</w:t>
            </w:r>
          </w:p>
        </w:tc>
        <w:tc>
          <w:tcPr>
            <w:tcW w:w="5013" w:type="dxa"/>
            <w:shd w:val="clear" w:color="auto" w:fill="auto"/>
          </w:tcPr>
          <w:p w14:paraId="735C3DA4"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Minimum number of ECTS credit points, or the minimum number of courses, allowing for a conditional promotion and registration for the following semester/study year</w:t>
            </w:r>
          </w:p>
        </w:tc>
        <w:tc>
          <w:tcPr>
            <w:tcW w:w="8087" w:type="dxa"/>
            <w:shd w:val="clear" w:color="auto" w:fill="auto"/>
          </w:tcPr>
          <w:p w14:paraId="34B5B8BC" w14:textId="3639EF8C" w:rsidR="00F504F6" w:rsidRPr="00C156B6" w:rsidRDefault="00F504F6" w:rsidP="00755EC6">
            <w:pPr>
              <w:spacing w:after="0" w:line="240" w:lineRule="auto"/>
              <w:ind w:right="477"/>
              <w:jc w:val="both"/>
              <w:rPr>
                <w:rFonts w:ascii="Times New Roman" w:hAnsi="Times New Roman"/>
                <w:sz w:val="20"/>
                <w:szCs w:val="20"/>
              </w:rPr>
            </w:pPr>
            <w:r>
              <w:rPr>
                <w:rFonts w:ascii="Times New Roman" w:hAnsi="Times New Roman"/>
                <w:sz w:val="20"/>
              </w:rPr>
              <w:t>A semester can be credited and promoted from conditionally if the courses which have not been credited to a student are worth no more than 10 ECTS credit points in total. The final decision shall be at the discretion of the Dean or an authorised designee.</w:t>
            </w:r>
          </w:p>
          <w:p w14:paraId="583C6035" w14:textId="709A008A" w:rsidR="006B21EC" w:rsidRDefault="00F504F6" w:rsidP="00755EC6">
            <w:pPr>
              <w:spacing w:after="0" w:line="240" w:lineRule="auto"/>
              <w:ind w:right="477"/>
              <w:jc w:val="both"/>
              <w:rPr>
                <w:rFonts w:ascii="Times New Roman" w:hAnsi="Times New Roman"/>
                <w:sz w:val="20"/>
              </w:rPr>
            </w:pPr>
            <w:r>
              <w:rPr>
                <w:rFonts w:ascii="Times New Roman" w:hAnsi="Times New Roman"/>
                <w:sz w:val="20"/>
              </w:rPr>
              <w:lastRenderedPageBreak/>
              <w:t xml:space="preserve">A conditional </w:t>
            </w:r>
            <w:r w:rsidR="00BE55BE">
              <w:rPr>
                <w:rFonts w:ascii="Times New Roman" w:hAnsi="Times New Roman"/>
                <w:sz w:val="20"/>
              </w:rPr>
              <w:t>promotion</w:t>
            </w:r>
            <w:r>
              <w:rPr>
                <w:rFonts w:ascii="Times New Roman" w:hAnsi="Times New Roman"/>
                <w:sz w:val="20"/>
              </w:rPr>
              <w:t xml:space="preserve"> failed on the date determined by the Dean will result in semester repetition. The Dean may require the student to take the conditional </w:t>
            </w:r>
            <w:r w:rsidR="000B1829">
              <w:rPr>
                <w:rFonts w:ascii="Times New Roman" w:hAnsi="Times New Roman"/>
                <w:sz w:val="20"/>
              </w:rPr>
              <w:t>promotion</w:t>
            </w:r>
            <w:r>
              <w:rPr>
                <w:rFonts w:ascii="Times New Roman" w:hAnsi="Times New Roman"/>
                <w:sz w:val="20"/>
              </w:rPr>
              <w:t xml:space="preserve"> in any (winter or summer) semester in which the classes of the same course are delivered, or to require the student to pursue the course individually on arrangement with the c</w:t>
            </w:r>
            <w:r w:rsidR="000B1829">
              <w:rPr>
                <w:rFonts w:ascii="Times New Roman" w:hAnsi="Times New Roman"/>
                <w:sz w:val="20"/>
              </w:rPr>
              <w:t>ourse leader</w:t>
            </w:r>
            <w:r>
              <w:rPr>
                <w:rFonts w:ascii="Times New Roman" w:hAnsi="Times New Roman"/>
                <w:sz w:val="20"/>
              </w:rPr>
              <w:t>.</w:t>
            </w:r>
          </w:p>
          <w:p w14:paraId="6345F7AE" w14:textId="75AB41C9"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 xml:space="preserve">The courses which expire due to changes in the teaching programmes or non-resumption of the study programme/speciality in the cycle shall be pursued by the student individually on arrangement with the relevant </w:t>
            </w:r>
            <w:r w:rsidR="00FA5D17">
              <w:rPr>
                <w:rFonts w:ascii="Times New Roman" w:hAnsi="Times New Roman"/>
                <w:sz w:val="20"/>
              </w:rPr>
              <w:t>course leader</w:t>
            </w:r>
            <w:r>
              <w:rPr>
                <w:rFonts w:ascii="Times New Roman" w:hAnsi="Times New Roman"/>
                <w:sz w:val="20"/>
              </w:rPr>
              <w:t>.</w:t>
            </w:r>
          </w:p>
        </w:tc>
      </w:tr>
      <w:tr w:rsidR="00F504F6" w:rsidRPr="00755EC6" w14:paraId="53E0A81E" w14:textId="77777777" w:rsidTr="00AD449D">
        <w:tc>
          <w:tcPr>
            <w:tcW w:w="1361" w:type="dxa"/>
            <w:shd w:val="clear" w:color="auto" w:fill="auto"/>
          </w:tcPr>
          <w:p w14:paraId="2206C842"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lastRenderedPageBreak/>
              <w:t xml:space="preserve">§ </w:t>
            </w:r>
            <w:r>
              <w:rPr>
                <w:rFonts w:ascii="Times New Roman" w:hAnsi="Times New Roman"/>
                <w:b/>
                <w:color w:val="000000"/>
                <w:sz w:val="20"/>
              </w:rPr>
              <w:t>5(2)(c)</w:t>
            </w:r>
          </w:p>
        </w:tc>
        <w:tc>
          <w:tcPr>
            <w:tcW w:w="5013" w:type="dxa"/>
            <w:shd w:val="clear" w:color="auto" w:fill="auto"/>
          </w:tcPr>
          <w:p w14:paraId="793D5494"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Officially binding sequence of courses</w:t>
            </w:r>
          </w:p>
        </w:tc>
        <w:tc>
          <w:tcPr>
            <w:tcW w:w="8087" w:type="dxa"/>
            <w:shd w:val="clear" w:color="auto" w:fill="auto"/>
          </w:tcPr>
          <w:p w14:paraId="40E2B258" w14:textId="65E2443C"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The courses delivered in sequence are identified by the Programme Managers. A student cannot be credited a conditional p</w:t>
            </w:r>
            <w:r w:rsidR="00BE55BE">
              <w:rPr>
                <w:rFonts w:ascii="Times New Roman" w:hAnsi="Times New Roman"/>
                <w:sz w:val="20"/>
              </w:rPr>
              <w:t>romotion</w:t>
            </w:r>
            <w:r>
              <w:rPr>
                <w:rFonts w:ascii="Times New Roman" w:hAnsi="Times New Roman"/>
                <w:sz w:val="20"/>
              </w:rPr>
              <w:t xml:space="preserve"> if he/she fails to pass out a course specified as a precedent in the sequence.</w:t>
            </w:r>
          </w:p>
        </w:tc>
      </w:tr>
      <w:tr w:rsidR="00F504F6" w:rsidRPr="00755EC6" w14:paraId="427F0600" w14:textId="77777777" w:rsidTr="00AD449D">
        <w:tc>
          <w:tcPr>
            <w:tcW w:w="1361" w:type="dxa"/>
            <w:shd w:val="clear" w:color="auto" w:fill="auto"/>
          </w:tcPr>
          <w:p w14:paraId="6C9E720B" w14:textId="7777777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5(2)(d)</w:t>
            </w:r>
          </w:p>
        </w:tc>
        <w:tc>
          <w:tcPr>
            <w:tcW w:w="5013" w:type="dxa"/>
            <w:shd w:val="clear" w:color="auto" w:fill="auto"/>
          </w:tcPr>
          <w:p w14:paraId="158A0676"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Compulsory courses, whose credits are obligatory for registration for the following semester/study year, regardless of the total number of ECTS credit points received by a student</w:t>
            </w:r>
          </w:p>
        </w:tc>
        <w:tc>
          <w:tcPr>
            <w:tcW w:w="8087" w:type="dxa"/>
            <w:shd w:val="clear" w:color="auto" w:fill="auto"/>
          </w:tcPr>
          <w:p w14:paraId="6B269716" w14:textId="7EE7E10B"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The list of courses for which condition</w:t>
            </w:r>
            <w:r w:rsidR="00BE55BE">
              <w:rPr>
                <w:rFonts w:ascii="Times New Roman" w:hAnsi="Times New Roman"/>
                <w:sz w:val="20"/>
              </w:rPr>
              <w:t>al promotion</w:t>
            </w:r>
            <w:r>
              <w:rPr>
                <w:rFonts w:ascii="Times New Roman" w:hAnsi="Times New Roman"/>
                <w:sz w:val="20"/>
              </w:rPr>
              <w:t xml:space="preserve"> is unavailable is established by the Programme Managers and approved by the Faculty Council. </w:t>
            </w:r>
          </w:p>
        </w:tc>
      </w:tr>
      <w:tr w:rsidR="00F504F6" w:rsidRPr="00755EC6" w14:paraId="0EB4F26F" w14:textId="77777777" w:rsidTr="00AD449D">
        <w:tc>
          <w:tcPr>
            <w:tcW w:w="1361" w:type="dxa"/>
            <w:shd w:val="clear" w:color="auto" w:fill="auto"/>
          </w:tcPr>
          <w:p w14:paraId="1E161421" w14:textId="1CC0430C"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5(2)(e)</w:t>
            </w:r>
          </w:p>
        </w:tc>
        <w:tc>
          <w:tcPr>
            <w:tcW w:w="5013" w:type="dxa"/>
            <w:shd w:val="clear" w:color="auto" w:fill="auto"/>
          </w:tcPr>
          <w:p w14:paraId="500EFF91"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Separate, from the one stipulated in Section § 23 of the present Rules, set of rules for transferring students from full-time (standard, daytime) to extramural (evening, weekend) studies, or vice versa, applicable to the entire Faculty, or particular fields of study</w:t>
            </w:r>
          </w:p>
        </w:tc>
        <w:tc>
          <w:tcPr>
            <w:tcW w:w="8087" w:type="dxa"/>
            <w:shd w:val="clear" w:color="auto" w:fill="auto"/>
          </w:tcPr>
          <w:p w14:paraId="6A6F45C0" w14:textId="51FE7044" w:rsidR="00F504F6" w:rsidRPr="00C156B6" w:rsidRDefault="00F504F6" w:rsidP="00755EC6">
            <w:pPr>
              <w:spacing w:after="0" w:line="240" w:lineRule="auto"/>
              <w:jc w:val="both"/>
              <w:rPr>
                <w:rFonts w:ascii="Times New Roman" w:eastAsia="Calibri" w:hAnsi="Times New Roman"/>
                <w:sz w:val="20"/>
                <w:szCs w:val="20"/>
              </w:rPr>
            </w:pPr>
            <w:r>
              <w:rPr>
                <w:rFonts w:ascii="Times New Roman" w:hAnsi="Times New Roman"/>
                <w:sz w:val="20"/>
              </w:rPr>
              <w:t xml:space="preserve">The mandatory precondition to seek and secure the Dean’s permission for a transfer from extramural to full-time studies is to </w:t>
            </w:r>
            <w:r w:rsidR="00016053">
              <w:rPr>
                <w:rFonts w:ascii="Times New Roman" w:hAnsi="Times New Roman"/>
                <w:sz w:val="20"/>
              </w:rPr>
              <w:t>complete</w:t>
            </w:r>
            <w:r>
              <w:rPr>
                <w:rFonts w:ascii="Times New Roman" w:hAnsi="Times New Roman"/>
                <w:sz w:val="20"/>
              </w:rPr>
              <w:t xml:space="preserve"> the first extramural year, meet the admission requirements </w:t>
            </w:r>
            <w:r w:rsidR="00316711">
              <w:rPr>
                <w:rFonts w:ascii="Times New Roman" w:hAnsi="Times New Roman"/>
                <w:sz w:val="20"/>
              </w:rPr>
              <w:t>in force</w:t>
            </w:r>
            <w:r>
              <w:rPr>
                <w:rFonts w:ascii="Times New Roman" w:hAnsi="Times New Roman"/>
                <w:sz w:val="20"/>
              </w:rPr>
              <w:t xml:space="preserve"> at the Faculty for the target study schedule, and a minimum study grade average of 4.50.</w:t>
            </w:r>
          </w:p>
          <w:p w14:paraId="49D3BC0E" w14:textId="77777777" w:rsidR="00F504F6" w:rsidRPr="00C156B6" w:rsidRDefault="00F504F6" w:rsidP="00755EC6">
            <w:pPr>
              <w:spacing w:after="0" w:line="240" w:lineRule="auto"/>
              <w:jc w:val="both"/>
              <w:rPr>
                <w:rFonts w:ascii="Times New Roman" w:eastAsia="Calibri" w:hAnsi="Times New Roman"/>
                <w:sz w:val="20"/>
                <w:szCs w:val="20"/>
              </w:rPr>
            </w:pPr>
            <w:r>
              <w:rPr>
                <w:rFonts w:ascii="Times New Roman" w:hAnsi="Times New Roman"/>
                <w:sz w:val="20"/>
              </w:rPr>
              <w:t>All formalities of the transfer shall be complete by the end of the summer semester reassessment session.</w:t>
            </w:r>
          </w:p>
          <w:p w14:paraId="5AE22EBD" w14:textId="77777777" w:rsidR="00F504F6" w:rsidRPr="00C156B6" w:rsidRDefault="00F504F6" w:rsidP="00755EC6">
            <w:pPr>
              <w:spacing w:after="0" w:line="240" w:lineRule="auto"/>
              <w:jc w:val="both"/>
              <w:rPr>
                <w:rFonts w:ascii="Times New Roman" w:eastAsia="Calibri" w:hAnsi="Times New Roman"/>
                <w:sz w:val="20"/>
                <w:szCs w:val="20"/>
              </w:rPr>
            </w:pPr>
            <w:r>
              <w:rPr>
                <w:rFonts w:ascii="Times New Roman" w:hAnsi="Times New Roman"/>
                <w:sz w:val="20"/>
              </w:rPr>
              <w:t>The transfer from extramural to full-time studies is permitted once the student pays in full all fees due to his/her pursuit of studies.</w:t>
            </w:r>
          </w:p>
          <w:p w14:paraId="04F8A783" w14:textId="66A89111" w:rsidR="006B21EC" w:rsidRDefault="00F504F6" w:rsidP="00755EC6">
            <w:pPr>
              <w:spacing w:after="0" w:line="240" w:lineRule="auto"/>
              <w:jc w:val="both"/>
              <w:rPr>
                <w:rFonts w:ascii="Times New Roman" w:hAnsi="Times New Roman"/>
                <w:sz w:val="20"/>
              </w:rPr>
            </w:pPr>
            <w:r>
              <w:rPr>
                <w:rFonts w:ascii="Times New Roman" w:hAnsi="Times New Roman"/>
                <w:sz w:val="20"/>
              </w:rPr>
              <w:t xml:space="preserve">For a transfer from full-time to extramural studies, the mandatory precondition is to </w:t>
            </w:r>
            <w:r w:rsidR="00316711">
              <w:rPr>
                <w:rFonts w:ascii="Times New Roman" w:hAnsi="Times New Roman"/>
                <w:sz w:val="20"/>
              </w:rPr>
              <w:t>complete</w:t>
            </w:r>
            <w:r>
              <w:rPr>
                <w:rFonts w:ascii="Times New Roman" w:hAnsi="Times New Roman"/>
                <w:sz w:val="20"/>
              </w:rPr>
              <w:t xml:space="preserve"> the first semester. All formalities of the transfer shall be complete</w:t>
            </w:r>
            <w:r w:rsidR="00316711">
              <w:rPr>
                <w:rFonts w:ascii="Times New Roman" w:hAnsi="Times New Roman"/>
                <w:sz w:val="20"/>
              </w:rPr>
              <w:t>d</w:t>
            </w:r>
            <w:r>
              <w:rPr>
                <w:rFonts w:ascii="Times New Roman" w:hAnsi="Times New Roman"/>
                <w:sz w:val="20"/>
              </w:rPr>
              <w:t xml:space="preserve"> by the end of the same-semester reassessment session.</w:t>
            </w:r>
          </w:p>
          <w:p w14:paraId="42569593" w14:textId="1F43BEBA" w:rsidR="00F504F6" w:rsidRPr="00C156B6" w:rsidRDefault="00F504F6" w:rsidP="00755EC6">
            <w:pPr>
              <w:spacing w:after="0" w:line="240" w:lineRule="auto"/>
              <w:jc w:val="both"/>
              <w:rPr>
                <w:rFonts w:ascii="Times New Roman" w:eastAsia="Calibri" w:hAnsi="Times New Roman"/>
                <w:sz w:val="20"/>
                <w:szCs w:val="20"/>
              </w:rPr>
            </w:pPr>
            <w:r>
              <w:rPr>
                <w:rFonts w:ascii="Times New Roman" w:hAnsi="Times New Roman"/>
                <w:sz w:val="20"/>
              </w:rPr>
              <w:t>The Dean, whenever reasonably justified, may specify individual requirements for an extramural-to-full-time transfer.</w:t>
            </w:r>
          </w:p>
        </w:tc>
      </w:tr>
      <w:tr w:rsidR="00F504F6" w:rsidRPr="00755EC6" w14:paraId="36309276" w14:textId="77777777" w:rsidTr="00AD449D">
        <w:tc>
          <w:tcPr>
            <w:tcW w:w="1361" w:type="dxa"/>
            <w:shd w:val="clear" w:color="auto" w:fill="auto"/>
          </w:tcPr>
          <w:p w14:paraId="4EC5517C" w14:textId="1AD89D56"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5(2)(f)</w:t>
            </w:r>
          </w:p>
        </w:tc>
        <w:tc>
          <w:tcPr>
            <w:tcW w:w="5013" w:type="dxa"/>
            <w:shd w:val="clear" w:color="auto" w:fill="auto"/>
          </w:tcPr>
          <w:p w14:paraId="02D3CEA1"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Conversion factor for ECTS credit points applied at specific fields of study and specialties, if the exchange of students on an international or national level fail to guarantee an equivalence in students’ achievements</w:t>
            </w:r>
          </w:p>
        </w:tc>
        <w:tc>
          <w:tcPr>
            <w:tcW w:w="8087" w:type="dxa"/>
            <w:shd w:val="clear" w:color="auto" w:fill="auto"/>
          </w:tcPr>
          <w:p w14:paraId="12AA9C08" w14:textId="420F037A" w:rsidR="00F504F6" w:rsidRPr="00C156B6" w:rsidRDefault="00AD449D" w:rsidP="00755EC6">
            <w:pPr>
              <w:spacing w:after="0" w:line="240" w:lineRule="auto"/>
              <w:ind w:right="477"/>
              <w:rPr>
                <w:rFonts w:ascii="Times New Roman" w:eastAsia="Calibri" w:hAnsi="Times New Roman"/>
                <w:sz w:val="20"/>
                <w:szCs w:val="20"/>
              </w:rPr>
            </w:pPr>
            <w:r>
              <w:rPr>
                <w:rFonts w:ascii="Times New Roman" w:hAnsi="Times New Roman"/>
                <w:sz w:val="20"/>
              </w:rPr>
              <w:t>None.</w:t>
            </w:r>
          </w:p>
        </w:tc>
      </w:tr>
      <w:tr w:rsidR="00F504F6" w:rsidRPr="00755EC6" w14:paraId="11464FCB" w14:textId="77777777" w:rsidTr="00AD449D">
        <w:tc>
          <w:tcPr>
            <w:tcW w:w="1361" w:type="dxa"/>
            <w:shd w:val="clear" w:color="auto" w:fill="auto"/>
          </w:tcPr>
          <w:p w14:paraId="006F8227" w14:textId="62CE065A"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5(2)(g)</w:t>
            </w:r>
          </w:p>
        </w:tc>
        <w:tc>
          <w:tcPr>
            <w:tcW w:w="5013" w:type="dxa"/>
            <w:shd w:val="clear" w:color="auto" w:fill="auto"/>
          </w:tcPr>
          <w:p w14:paraId="50E0B802"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Possibility to apply for an individually arranged study schedule and curriculum (IPS) starting from the first semester of second-cycle studies</w:t>
            </w:r>
          </w:p>
        </w:tc>
        <w:tc>
          <w:tcPr>
            <w:tcW w:w="8087" w:type="dxa"/>
            <w:shd w:val="clear" w:color="auto" w:fill="auto"/>
          </w:tcPr>
          <w:p w14:paraId="57FFF427" w14:textId="3A84294A" w:rsidR="00F504F6" w:rsidRPr="00C156B6" w:rsidRDefault="00AD449D" w:rsidP="00755EC6">
            <w:pPr>
              <w:spacing w:after="0" w:line="240" w:lineRule="auto"/>
              <w:ind w:right="477"/>
              <w:rPr>
                <w:rFonts w:ascii="Times New Roman" w:hAnsi="Times New Roman"/>
                <w:color w:val="7030A0"/>
                <w:sz w:val="20"/>
                <w:szCs w:val="20"/>
              </w:rPr>
            </w:pPr>
            <w:r>
              <w:rPr>
                <w:rFonts w:ascii="Times New Roman" w:hAnsi="Times New Roman"/>
                <w:sz w:val="20"/>
              </w:rPr>
              <w:t>None.</w:t>
            </w:r>
          </w:p>
        </w:tc>
      </w:tr>
      <w:tr w:rsidR="00F504F6" w:rsidRPr="00755EC6" w14:paraId="60E2C19F" w14:textId="77777777" w:rsidTr="00AD449D">
        <w:tc>
          <w:tcPr>
            <w:tcW w:w="1361" w:type="dxa"/>
            <w:shd w:val="clear" w:color="auto" w:fill="auto"/>
          </w:tcPr>
          <w:p w14:paraId="516FC722" w14:textId="04C7030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5(2)(h)</w:t>
            </w:r>
          </w:p>
        </w:tc>
        <w:tc>
          <w:tcPr>
            <w:tcW w:w="5013" w:type="dxa"/>
            <w:shd w:val="clear" w:color="auto" w:fill="auto"/>
          </w:tcPr>
          <w:p w14:paraId="48373985"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Separate set of rules, from the one stipulated in Section § 38(7) and 38(8) of the hereby Rules, for recognising a as a part of the student’s upcoming pursuit of studies</w:t>
            </w:r>
          </w:p>
        </w:tc>
        <w:tc>
          <w:tcPr>
            <w:tcW w:w="8087" w:type="dxa"/>
            <w:shd w:val="clear" w:color="auto" w:fill="auto"/>
          </w:tcPr>
          <w:p w14:paraId="09A678D0" w14:textId="4B278707"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t xml:space="preserve">Apart from the courses a student is </w:t>
            </w:r>
            <w:r w:rsidR="00BE55BE">
              <w:rPr>
                <w:rFonts w:ascii="Times New Roman" w:hAnsi="Times New Roman"/>
                <w:sz w:val="20"/>
              </w:rPr>
              <w:t>admitted</w:t>
            </w:r>
            <w:r>
              <w:rPr>
                <w:rFonts w:ascii="Times New Roman" w:hAnsi="Times New Roman"/>
                <w:sz w:val="20"/>
              </w:rPr>
              <w:t xml:space="preserve"> in and featured in the study schedule for the semester/year, the student can </w:t>
            </w:r>
            <w:r w:rsidR="00316711">
              <w:rPr>
                <w:rFonts w:ascii="Times New Roman" w:hAnsi="Times New Roman"/>
                <w:sz w:val="20"/>
              </w:rPr>
              <w:t>obtain</w:t>
            </w:r>
            <w:r>
              <w:rPr>
                <w:rFonts w:ascii="Times New Roman" w:hAnsi="Times New Roman"/>
                <w:sz w:val="20"/>
              </w:rPr>
              <w:t xml:space="preserve"> credit</w:t>
            </w:r>
            <w:r w:rsidR="00316711">
              <w:rPr>
                <w:rFonts w:ascii="Times New Roman" w:hAnsi="Times New Roman"/>
                <w:sz w:val="20"/>
              </w:rPr>
              <w:t>s</w:t>
            </w:r>
            <w:r>
              <w:rPr>
                <w:rFonts w:ascii="Times New Roman" w:hAnsi="Times New Roman"/>
                <w:sz w:val="20"/>
              </w:rPr>
              <w:t xml:space="preserve"> for the courses for the next, higher study year, to which is credited no more than 50% of the ECTS points established in the study curriculum for the semester of these next-year courses. (</w:t>
            </w:r>
            <w:r w:rsidR="00BE55BE">
              <w:rPr>
                <w:rFonts w:ascii="Times New Roman" w:hAnsi="Times New Roman"/>
                <w:sz w:val="20"/>
              </w:rPr>
              <w:t>Annex</w:t>
            </w:r>
            <w:r>
              <w:rPr>
                <w:rFonts w:ascii="Times New Roman" w:hAnsi="Times New Roman"/>
                <w:sz w:val="20"/>
              </w:rPr>
              <w:t xml:space="preserve"> </w:t>
            </w:r>
            <w:r w:rsidR="00BE55BE">
              <w:rPr>
                <w:rFonts w:ascii="Times New Roman" w:hAnsi="Times New Roman"/>
                <w:sz w:val="20"/>
              </w:rPr>
              <w:t>N</w:t>
            </w:r>
            <w:r>
              <w:rPr>
                <w:rFonts w:ascii="Times New Roman" w:hAnsi="Times New Roman"/>
                <w:sz w:val="20"/>
              </w:rPr>
              <w:t>o. 8)</w:t>
            </w:r>
          </w:p>
          <w:p w14:paraId="550C6831" w14:textId="77777777" w:rsidR="006B21EC" w:rsidRDefault="00F504F6" w:rsidP="00755EC6">
            <w:pPr>
              <w:spacing w:after="0" w:line="240" w:lineRule="auto"/>
              <w:ind w:right="477"/>
              <w:jc w:val="both"/>
              <w:rPr>
                <w:rFonts w:ascii="Times New Roman" w:hAnsi="Times New Roman"/>
                <w:sz w:val="20"/>
              </w:rPr>
            </w:pPr>
            <w:r>
              <w:rPr>
                <w:rFonts w:ascii="Times New Roman" w:hAnsi="Times New Roman"/>
                <w:sz w:val="20"/>
              </w:rPr>
              <w:t>The courses shall be pursued in the established sequence. It is not possible to simultaneously pursuit the courses established the sequence or to change the order of the courses pursued.</w:t>
            </w:r>
          </w:p>
          <w:p w14:paraId="00D75BA0" w14:textId="523EFA12" w:rsidR="00F504F6" w:rsidRPr="00C156B6" w:rsidRDefault="00F504F6" w:rsidP="00755EC6">
            <w:pPr>
              <w:spacing w:after="0" w:line="240" w:lineRule="auto"/>
              <w:ind w:right="477"/>
              <w:jc w:val="both"/>
              <w:rPr>
                <w:rFonts w:ascii="Times New Roman" w:eastAsia="Calibri" w:hAnsi="Times New Roman"/>
                <w:sz w:val="20"/>
                <w:szCs w:val="20"/>
              </w:rPr>
            </w:pPr>
            <w:r>
              <w:rPr>
                <w:rFonts w:ascii="Times New Roman" w:hAnsi="Times New Roman"/>
                <w:sz w:val="20"/>
              </w:rPr>
              <w:lastRenderedPageBreak/>
              <w:t>The final decision about the courses pursued by promotion shall be at the discretion of the Dean.</w:t>
            </w:r>
          </w:p>
        </w:tc>
      </w:tr>
      <w:tr w:rsidR="00F504F6" w:rsidRPr="00755EC6" w14:paraId="67C2C54A" w14:textId="77777777" w:rsidTr="00AD449D">
        <w:tc>
          <w:tcPr>
            <w:tcW w:w="1361" w:type="dxa"/>
            <w:shd w:val="clear" w:color="auto" w:fill="auto"/>
          </w:tcPr>
          <w:p w14:paraId="762AC8F3" w14:textId="618C48F0"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lastRenderedPageBreak/>
              <w:t xml:space="preserve">§ </w:t>
            </w:r>
            <w:r>
              <w:rPr>
                <w:rFonts w:ascii="Times New Roman" w:hAnsi="Times New Roman"/>
                <w:b/>
                <w:color w:val="000000"/>
                <w:sz w:val="20"/>
              </w:rPr>
              <w:t>5(2)(i)</w:t>
            </w:r>
          </w:p>
        </w:tc>
        <w:tc>
          <w:tcPr>
            <w:tcW w:w="5013" w:type="dxa"/>
            <w:shd w:val="clear" w:color="auto" w:fill="auto"/>
          </w:tcPr>
          <w:p w14:paraId="626C15ED"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Separate set of rules, from the one stipulated in Section § 38(9) of the hereby Rules, for receiving credits and sitting examinations</w:t>
            </w:r>
          </w:p>
        </w:tc>
        <w:tc>
          <w:tcPr>
            <w:tcW w:w="8087" w:type="dxa"/>
            <w:shd w:val="clear" w:color="auto" w:fill="auto"/>
          </w:tcPr>
          <w:p w14:paraId="6792047B" w14:textId="77777777" w:rsidR="00F504F6" w:rsidRPr="00C156B6" w:rsidRDefault="00F504F6" w:rsidP="00755EC6">
            <w:pPr>
              <w:spacing w:after="0" w:line="240" w:lineRule="auto"/>
              <w:ind w:right="477"/>
              <w:rPr>
                <w:rFonts w:ascii="Times New Roman" w:hAnsi="Times New Roman"/>
                <w:color w:val="7030A0"/>
                <w:sz w:val="20"/>
                <w:szCs w:val="20"/>
              </w:rPr>
            </w:pPr>
          </w:p>
        </w:tc>
      </w:tr>
      <w:tr w:rsidR="00F504F6" w:rsidRPr="00755EC6" w14:paraId="1B6C9045" w14:textId="77777777" w:rsidTr="00AD449D">
        <w:tc>
          <w:tcPr>
            <w:tcW w:w="1361" w:type="dxa"/>
            <w:shd w:val="clear" w:color="auto" w:fill="auto"/>
          </w:tcPr>
          <w:p w14:paraId="36178339" w14:textId="1EAE6A1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5(2)(j)</w:t>
            </w:r>
          </w:p>
        </w:tc>
        <w:tc>
          <w:tcPr>
            <w:tcW w:w="5013" w:type="dxa"/>
            <w:shd w:val="clear" w:color="auto" w:fill="auto"/>
          </w:tcPr>
          <w:p w14:paraId="3F11E54B"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Additional, to the ones stipulated in Section § 52, designations for a thesis, or provide examples of written output that meet the guidelines for a Diploma Thesis</w:t>
            </w:r>
          </w:p>
        </w:tc>
        <w:tc>
          <w:tcPr>
            <w:tcW w:w="8087" w:type="dxa"/>
            <w:shd w:val="clear" w:color="auto" w:fill="auto"/>
          </w:tcPr>
          <w:p w14:paraId="2C9641F1" w14:textId="244B5441" w:rsidR="00F504F6" w:rsidRPr="00C156B6" w:rsidRDefault="00AD449D" w:rsidP="00755EC6">
            <w:pPr>
              <w:spacing w:after="0" w:line="240" w:lineRule="auto"/>
              <w:ind w:right="477"/>
              <w:rPr>
                <w:rFonts w:ascii="Times New Roman" w:hAnsi="Times New Roman"/>
                <w:color w:val="7030A0"/>
                <w:sz w:val="20"/>
                <w:szCs w:val="20"/>
              </w:rPr>
            </w:pPr>
            <w:r>
              <w:rPr>
                <w:rFonts w:ascii="Times New Roman" w:hAnsi="Times New Roman"/>
                <w:sz w:val="20"/>
              </w:rPr>
              <w:t>None.</w:t>
            </w:r>
          </w:p>
        </w:tc>
      </w:tr>
      <w:tr w:rsidR="00F504F6" w:rsidRPr="00755EC6" w14:paraId="659F6B0B" w14:textId="77777777" w:rsidTr="00AD449D">
        <w:tc>
          <w:tcPr>
            <w:tcW w:w="1361" w:type="dxa"/>
            <w:shd w:val="clear" w:color="auto" w:fill="auto"/>
          </w:tcPr>
          <w:p w14:paraId="2EE7791D" w14:textId="4B7E3137"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5(2)(k)</w:t>
            </w:r>
          </w:p>
        </w:tc>
        <w:tc>
          <w:tcPr>
            <w:tcW w:w="5013" w:type="dxa"/>
            <w:shd w:val="clear" w:color="auto" w:fill="auto"/>
          </w:tcPr>
          <w:p w14:paraId="011E2368"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Prolonging the period, stipulated in Section § 54(5), entitling the student to exemption from taking complementary examinations and courses that would make up for differences in study curricula and/or study schedules</w:t>
            </w:r>
          </w:p>
        </w:tc>
        <w:tc>
          <w:tcPr>
            <w:tcW w:w="8087" w:type="dxa"/>
            <w:shd w:val="clear" w:color="auto" w:fill="auto"/>
          </w:tcPr>
          <w:p w14:paraId="7C410666" w14:textId="4911CCDE" w:rsidR="00F504F6" w:rsidRPr="00C156B6" w:rsidRDefault="00AD449D" w:rsidP="00755EC6">
            <w:pPr>
              <w:spacing w:after="0" w:line="240" w:lineRule="auto"/>
              <w:ind w:right="477"/>
              <w:rPr>
                <w:rFonts w:ascii="Times New Roman" w:hAnsi="Times New Roman"/>
                <w:color w:val="7030A0"/>
                <w:sz w:val="20"/>
                <w:szCs w:val="20"/>
              </w:rPr>
            </w:pPr>
            <w:r>
              <w:rPr>
                <w:rFonts w:ascii="Times New Roman" w:hAnsi="Times New Roman"/>
                <w:sz w:val="20"/>
              </w:rPr>
              <w:t>None.</w:t>
            </w:r>
          </w:p>
        </w:tc>
      </w:tr>
      <w:tr w:rsidR="00F504F6" w:rsidRPr="00755EC6" w14:paraId="3D3F57A9" w14:textId="77777777" w:rsidTr="00AD449D">
        <w:tc>
          <w:tcPr>
            <w:tcW w:w="1361" w:type="dxa"/>
            <w:shd w:val="clear" w:color="auto" w:fill="auto"/>
          </w:tcPr>
          <w:p w14:paraId="2FDA7145" w14:textId="150AC0BC" w:rsidR="00F504F6" w:rsidRPr="00C156B6" w:rsidRDefault="00F504F6" w:rsidP="00755EC6">
            <w:pPr>
              <w:spacing w:after="0" w:line="240" w:lineRule="auto"/>
              <w:jc w:val="center"/>
              <w:rPr>
                <w:rFonts w:ascii="Times New Roman" w:eastAsia="Calibri" w:hAnsi="Times New Roman"/>
                <w:b/>
                <w:sz w:val="20"/>
                <w:szCs w:val="20"/>
              </w:rPr>
            </w:pPr>
            <w:r>
              <w:rPr>
                <w:rFonts w:ascii="Times New Roman" w:hAnsi="Times New Roman"/>
                <w:b/>
                <w:sz w:val="20"/>
              </w:rPr>
              <w:t xml:space="preserve">§ </w:t>
            </w:r>
            <w:r>
              <w:rPr>
                <w:rFonts w:ascii="Times New Roman" w:hAnsi="Times New Roman"/>
                <w:b/>
                <w:color w:val="000000"/>
                <w:sz w:val="20"/>
              </w:rPr>
              <w:t>5(2)(l)</w:t>
            </w:r>
          </w:p>
        </w:tc>
        <w:tc>
          <w:tcPr>
            <w:tcW w:w="5013" w:type="dxa"/>
            <w:shd w:val="clear" w:color="auto" w:fill="auto"/>
          </w:tcPr>
          <w:p w14:paraId="6A382999" w14:textId="77777777" w:rsidR="00F504F6" w:rsidRPr="00C156B6" w:rsidRDefault="00F504F6" w:rsidP="00755EC6">
            <w:pPr>
              <w:spacing w:after="0" w:line="240" w:lineRule="auto"/>
              <w:rPr>
                <w:rFonts w:ascii="Times New Roman" w:eastAsia="Calibri" w:hAnsi="Times New Roman"/>
                <w:sz w:val="20"/>
                <w:szCs w:val="20"/>
              </w:rPr>
            </w:pPr>
            <w:r>
              <w:rPr>
                <w:rFonts w:ascii="Times New Roman" w:hAnsi="Times New Roman"/>
                <w:sz w:val="20"/>
              </w:rPr>
              <w:t>Form of Bachelor's/Master's diploma examination different from the one stipulated in Section § 56(6)</w:t>
            </w:r>
          </w:p>
        </w:tc>
        <w:tc>
          <w:tcPr>
            <w:tcW w:w="8087" w:type="dxa"/>
            <w:shd w:val="clear" w:color="auto" w:fill="auto"/>
          </w:tcPr>
          <w:p w14:paraId="07A0C201" w14:textId="287A5BC8" w:rsidR="00F504F6" w:rsidRPr="00C156B6" w:rsidRDefault="00AD449D" w:rsidP="00755EC6">
            <w:pPr>
              <w:spacing w:after="0" w:line="240" w:lineRule="auto"/>
              <w:ind w:right="477"/>
              <w:rPr>
                <w:rFonts w:ascii="Times New Roman" w:hAnsi="Times New Roman"/>
                <w:color w:val="7030A0"/>
                <w:sz w:val="20"/>
                <w:szCs w:val="20"/>
              </w:rPr>
            </w:pPr>
            <w:r>
              <w:rPr>
                <w:rFonts w:ascii="Times New Roman" w:hAnsi="Times New Roman"/>
                <w:sz w:val="20"/>
              </w:rPr>
              <w:t>None.</w:t>
            </w:r>
          </w:p>
        </w:tc>
      </w:tr>
    </w:tbl>
    <w:p w14:paraId="4212CA2F" w14:textId="77777777" w:rsidR="00F504F6" w:rsidRPr="00F504F6" w:rsidRDefault="00F504F6" w:rsidP="00F504F6">
      <w:pPr>
        <w:spacing w:after="0" w:line="240" w:lineRule="auto"/>
        <w:rPr>
          <w:rFonts w:ascii="Times New Roman" w:eastAsia="Calibri" w:hAnsi="Times New Roman"/>
          <w:sz w:val="20"/>
          <w:szCs w:val="20"/>
        </w:rPr>
      </w:pPr>
    </w:p>
    <w:p w14:paraId="65E3341B" w14:textId="77777777" w:rsidR="00F504F6" w:rsidRPr="00F504F6" w:rsidRDefault="00F504F6" w:rsidP="00F504F6">
      <w:pPr>
        <w:spacing w:after="160" w:line="259" w:lineRule="auto"/>
        <w:rPr>
          <w:rFonts w:eastAsia="Calibri"/>
        </w:rPr>
      </w:pPr>
    </w:p>
    <w:p w14:paraId="5852D124" w14:textId="77777777" w:rsidR="00F504F6" w:rsidRDefault="00F504F6" w:rsidP="00B36650">
      <w:pPr>
        <w:pStyle w:val="NormalnyWeb"/>
        <w:spacing w:before="0" w:beforeAutospacing="0" w:after="0" w:afterAutospacing="0"/>
        <w:jc w:val="center"/>
        <w:rPr>
          <w:rFonts w:ascii="Calibri" w:eastAsia="Times New Roman" w:hAnsi="Calibri" w:cs="Verdana"/>
          <w:color w:val="000000"/>
          <w:kern w:val="24"/>
        </w:rPr>
      </w:pPr>
    </w:p>
    <w:sectPr w:rsidR="00F504F6" w:rsidSect="00570AD9">
      <w:pgSz w:w="16838" w:h="11906" w:orient="landscape"/>
      <w:pgMar w:top="1134" w:right="1134" w:bottom="113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BD87" w14:textId="77777777" w:rsidR="00E869BD" w:rsidRDefault="00E869BD" w:rsidP="00D35677">
      <w:pPr>
        <w:spacing w:after="0" w:line="240" w:lineRule="auto"/>
      </w:pPr>
      <w:r>
        <w:separator/>
      </w:r>
    </w:p>
  </w:endnote>
  <w:endnote w:type="continuationSeparator" w:id="0">
    <w:p w14:paraId="65D7A556" w14:textId="77777777" w:rsidR="00E869BD" w:rsidRDefault="00E869BD" w:rsidP="00D3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A5E1" w14:textId="77777777" w:rsidR="00E869BD" w:rsidRDefault="00E869BD" w:rsidP="00D35677">
      <w:pPr>
        <w:spacing w:after="0" w:line="240" w:lineRule="auto"/>
      </w:pPr>
      <w:r>
        <w:separator/>
      </w:r>
    </w:p>
  </w:footnote>
  <w:footnote w:type="continuationSeparator" w:id="0">
    <w:p w14:paraId="2083EAA4" w14:textId="77777777" w:rsidR="00E869BD" w:rsidRDefault="00E869BD" w:rsidP="00D35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74B4"/>
    <w:multiLevelType w:val="hybridMultilevel"/>
    <w:tmpl w:val="D99E3D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B5773B"/>
    <w:multiLevelType w:val="hybridMultilevel"/>
    <w:tmpl w:val="B468A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EF34F8"/>
    <w:multiLevelType w:val="hybridMultilevel"/>
    <w:tmpl w:val="7E8C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867A1F"/>
    <w:multiLevelType w:val="hybridMultilevel"/>
    <w:tmpl w:val="91AAD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2A25BC"/>
    <w:multiLevelType w:val="hybridMultilevel"/>
    <w:tmpl w:val="A8AEAC2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58D812E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45071826">
    <w:abstractNumId w:val="1"/>
  </w:num>
  <w:num w:numId="2" w16cid:durableId="913783725">
    <w:abstractNumId w:val="5"/>
  </w:num>
  <w:num w:numId="3" w16cid:durableId="663973270">
    <w:abstractNumId w:val="3"/>
  </w:num>
  <w:num w:numId="4" w16cid:durableId="2137210552">
    <w:abstractNumId w:val="4"/>
  </w:num>
  <w:num w:numId="5" w16cid:durableId="722683127">
    <w:abstractNumId w:val="0"/>
  </w:num>
  <w:num w:numId="6" w16cid:durableId="1300384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55"/>
    <w:rsid w:val="0001324F"/>
    <w:rsid w:val="00016053"/>
    <w:rsid w:val="00026E01"/>
    <w:rsid w:val="0005392E"/>
    <w:rsid w:val="000646DE"/>
    <w:rsid w:val="00067C67"/>
    <w:rsid w:val="000B1829"/>
    <w:rsid w:val="000C1D55"/>
    <w:rsid w:val="00106CB3"/>
    <w:rsid w:val="00121481"/>
    <w:rsid w:val="001430C8"/>
    <w:rsid w:val="00145C59"/>
    <w:rsid w:val="001461C5"/>
    <w:rsid w:val="0015010C"/>
    <w:rsid w:val="00152753"/>
    <w:rsid w:val="00174281"/>
    <w:rsid w:val="001A30BA"/>
    <w:rsid w:val="001D2946"/>
    <w:rsid w:val="001D57BE"/>
    <w:rsid w:val="001F1A60"/>
    <w:rsid w:val="0027401F"/>
    <w:rsid w:val="002918C1"/>
    <w:rsid w:val="002B117C"/>
    <w:rsid w:val="002B444F"/>
    <w:rsid w:val="002B58D8"/>
    <w:rsid w:val="002C7520"/>
    <w:rsid w:val="002D4058"/>
    <w:rsid w:val="002D4969"/>
    <w:rsid w:val="00316711"/>
    <w:rsid w:val="003334A8"/>
    <w:rsid w:val="0035591A"/>
    <w:rsid w:val="00370C4B"/>
    <w:rsid w:val="003833F1"/>
    <w:rsid w:val="003C1504"/>
    <w:rsid w:val="003D1617"/>
    <w:rsid w:val="003F3916"/>
    <w:rsid w:val="003F6DBF"/>
    <w:rsid w:val="00427036"/>
    <w:rsid w:val="00466288"/>
    <w:rsid w:val="004929D0"/>
    <w:rsid w:val="004A6998"/>
    <w:rsid w:val="004C5CB6"/>
    <w:rsid w:val="005221FF"/>
    <w:rsid w:val="005367EB"/>
    <w:rsid w:val="00561757"/>
    <w:rsid w:val="00570AD9"/>
    <w:rsid w:val="005A1C09"/>
    <w:rsid w:val="005B7F16"/>
    <w:rsid w:val="005D45D8"/>
    <w:rsid w:val="005E7EB8"/>
    <w:rsid w:val="00615C58"/>
    <w:rsid w:val="00630E83"/>
    <w:rsid w:val="00637DE6"/>
    <w:rsid w:val="006515F6"/>
    <w:rsid w:val="00664555"/>
    <w:rsid w:val="006B10F3"/>
    <w:rsid w:val="006B21EC"/>
    <w:rsid w:val="006C066A"/>
    <w:rsid w:val="006C0F75"/>
    <w:rsid w:val="006D1FEF"/>
    <w:rsid w:val="006E2E59"/>
    <w:rsid w:val="006E5269"/>
    <w:rsid w:val="006F1E10"/>
    <w:rsid w:val="0070095B"/>
    <w:rsid w:val="00711D00"/>
    <w:rsid w:val="007155D5"/>
    <w:rsid w:val="00755EC6"/>
    <w:rsid w:val="00760CDC"/>
    <w:rsid w:val="00770CDD"/>
    <w:rsid w:val="00773D24"/>
    <w:rsid w:val="00774EAA"/>
    <w:rsid w:val="0078776F"/>
    <w:rsid w:val="00794FF8"/>
    <w:rsid w:val="007B1270"/>
    <w:rsid w:val="007C54A4"/>
    <w:rsid w:val="007D2D14"/>
    <w:rsid w:val="0087299E"/>
    <w:rsid w:val="00882E2F"/>
    <w:rsid w:val="00885692"/>
    <w:rsid w:val="008B2008"/>
    <w:rsid w:val="008C4915"/>
    <w:rsid w:val="008D5D25"/>
    <w:rsid w:val="008E1436"/>
    <w:rsid w:val="0090010A"/>
    <w:rsid w:val="009016B6"/>
    <w:rsid w:val="00916259"/>
    <w:rsid w:val="00922E04"/>
    <w:rsid w:val="00924874"/>
    <w:rsid w:val="0093597E"/>
    <w:rsid w:val="00961B8A"/>
    <w:rsid w:val="009637AE"/>
    <w:rsid w:val="00966033"/>
    <w:rsid w:val="00974CAA"/>
    <w:rsid w:val="00985A51"/>
    <w:rsid w:val="009A2086"/>
    <w:rsid w:val="009B59DA"/>
    <w:rsid w:val="009E00CF"/>
    <w:rsid w:val="009E2571"/>
    <w:rsid w:val="009F3F24"/>
    <w:rsid w:val="009F512F"/>
    <w:rsid w:val="009F5958"/>
    <w:rsid w:val="00A422A2"/>
    <w:rsid w:val="00A434BF"/>
    <w:rsid w:val="00A447A9"/>
    <w:rsid w:val="00A56CFA"/>
    <w:rsid w:val="00A61878"/>
    <w:rsid w:val="00A67A57"/>
    <w:rsid w:val="00A729C9"/>
    <w:rsid w:val="00A82037"/>
    <w:rsid w:val="00AC6571"/>
    <w:rsid w:val="00AD449D"/>
    <w:rsid w:val="00B03144"/>
    <w:rsid w:val="00B060CE"/>
    <w:rsid w:val="00B15B2D"/>
    <w:rsid w:val="00B24C7E"/>
    <w:rsid w:val="00B36650"/>
    <w:rsid w:val="00B57BEB"/>
    <w:rsid w:val="00B67537"/>
    <w:rsid w:val="00B77AF6"/>
    <w:rsid w:val="00B80673"/>
    <w:rsid w:val="00BA6D4F"/>
    <w:rsid w:val="00BC7120"/>
    <w:rsid w:val="00BC7447"/>
    <w:rsid w:val="00BE55BE"/>
    <w:rsid w:val="00BE6DB3"/>
    <w:rsid w:val="00C079F1"/>
    <w:rsid w:val="00C156B6"/>
    <w:rsid w:val="00C30662"/>
    <w:rsid w:val="00C31607"/>
    <w:rsid w:val="00C4364A"/>
    <w:rsid w:val="00C533AC"/>
    <w:rsid w:val="00C81319"/>
    <w:rsid w:val="00CB7378"/>
    <w:rsid w:val="00CE7451"/>
    <w:rsid w:val="00CF2663"/>
    <w:rsid w:val="00CF6DA9"/>
    <w:rsid w:val="00D01F46"/>
    <w:rsid w:val="00D06852"/>
    <w:rsid w:val="00D07301"/>
    <w:rsid w:val="00D23D98"/>
    <w:rsid w:val="00D34205"/>
    <w:rsid w:val="00D35677"/>
    <w:rsid w:val="00D3621D"/>
    <w:rsid w:val="00D529DA"/>
    <w:rsid w:val="00D75F64"/>
    <w:rsid w:val="00DA4527"/>
    <w:rsid w:val="00DC5551"/>
    <w:rsid w:val="00DE1011"/>
    <w:rsid w:val="00DE1B16"/>
    <w:rsid w:val="00DE6BE6"/>
    <w:rsid w:val="00DF0849"/>
    <w:rsid w:val="00DF1253"/>
    <w:rsid w:val="00E014BB"/>
    <w:rsid w:val="00E1763A"/>
    <w:rsid w:val="00E2703C"/>
    <w:rsid w:val="00E40452"/>
    <w:rsid w:val="00E515C2"/>
    <w:rsid w:val="00E655CC"/>
    <w:rsid w:val="00E8487A"/>
    <w:rsid w:val="00E869BD"/>
    <w:rsid w:val="00EA4E7A"/>
    <w:rsid w:val="00EB2E46"/>
    <w:rsid w:val="00EC36EB"/>
    <w:rsid w:val="00EC4489"/>
    <w:rsid w:val="00EC6FBD"/>
    <w:rsid w:val="00ED6724"/>
    <w:rsid w:val="00EE15A4"/>
    <w:rsid w:val="00EE428B"/>
    <w:rsid w:val="00F03EE6"/>
    <w:rsid w:val="00F22192"/>
    <w:rsid w:val="00F22594"/>
    <w:rsid w:val="00F30DED"/>
    <w:rsid w:val="00F349DF"/>
    <w:rsid w:val="00F351AC"/>
    <w:rsid w:val="00F504F6"/>
    <w:rsid w:val="00F7689E"/>
    <w:rsid w:val="00F84EEB"/>
    <w:rsid w:val="00FA5D17"/>
    <w:rsid w:val="00FB2EF7"/>
    <w:rsid w:val="00FC0891"/>
    <w:rsid w:val="00FF3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C6D025"/>
  <w15:chartTrackingRefBased/>
  <w15:docId w15:val="{6719C96A-A008-4154-BD18-1E017F2A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E428B"/>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64555"/>
    <w:pPr>
      <w:spacing w:before="100" w:beforeAutospacing="1" w:after="100" w:afterAutospacing="1" w:line="240" w:lineRule="auto"/>
    </w:pPr>
    <w:rPr>
      <w:rFonts w:ascii="Times New Roman" w:eastAsia="Calibri" w:hAnsi="Times New Roman"/>
      <w:sz w:val="24"/>
      <w:szCs w:val="24"/>
      <w:lang w:eastAsia="pl-PL"/>
    </w:rPr>
  </w:style>
  <w:style w:type="paragraph" w:styleId="Tekstprzypisudolnego">
    <w:name w:val="footnote text"/>
    <w:basedOn w:val="Normalny"/>
    <w:link w:val="TekstprzypisudolnegoZnak"/>
    <w:uiPriority w:val="99"/>
    <w:unhideWhenUsed/>
    <w:rsid w:val="00D35677"/>
    <w:pPr>
      <w:spacing w:after="0" w:line="240" w:lineRule="auto"/>
    </w:pPr>
    <w:rPr>
      <w:sz w:val="20"/>
      <w:szCs w:val="20"/>
      <w:lang w:eastAsia="x-none"/>
    </w:rPr>
  </w:style>
  <w:style w:type="character" w:customStyle="1" w:styleId="TekstprzypisudolnegoZnak">
    <w:name w:val="Tekst przypisu dolnego Znak"/>
    <w:link w:val="Tekstprzypisudolnego"/>
    <w:uiPriority w:val="99"/>
    <w:rsid w:val="00D35677"/>
    <w:rPr>
      <w:rFonts w:eastAsia="Times New Roman"/>
    </w:rPr>
  </w:style>
  <w:style w:type="character" w:styleId="Odwoanieprzypisudolnego">
    <w:name w:val="footnote reference"/>
    <w:uiPriority w:val="99"/>
    <w:unhideWhenUsed/>
    <w:rsid w:val="00D35677"/>
    <w:rPr>
      <w:vertAlign w:val="superscript"/>
    </w:rPr>
  </w:style>
  <w:style w:type="character" w:styleId="Pogrubienie">
    <w:name w:val="Strong"/>
    <w:uiPriority w:val="22"/>
    <w:qFormat/>
    <w:locked/>
    <w:rsid w:val="004929D0"/>
    <w:rPr>
      <w:b/>
      <w:bCs/>
    </w:rPr>
  </w:style>
  <w:style w:type="paragraph" w:styleId="Akapitzlist">
    <w:name w:val="List Paragraph"/>
    <w:basedOn w:val="Normalny"/>
    <w:uiPriority w:val="34"/>
    <w:qFormat/>
    <w:rsid w:val="004929D0"/>
    <w:pPr>
      <w:ind w:left="720"/>
      <w:contextualSpacing/>
    </w:pPr>
    <w:rPr>
      <w:lang w:eastAsia="pl-PL"/>
    </w:rPr>
  </w:style>
  <w:style w:type="paragraph" w:customStyle="1" w:styleId="Norma-bis">
    <w:name w:val="Norma-bis"/>
    <w:basedOn w:val="Normalny"/>
    <w:uiPriority w:val="99"/>
    <w:rsid w:val="00D23D98"/>
    <w:pPr>
      <w:spacing w:after="0" w:line="460" w:lineRule="atLeast"/>
      <w:ind w:right="-851" w:firstLine="567"/>
      <w:jc w:val="both"/>
    </w:pPr>
    <w:rPr>
      <w:rFonts w:ascii="Times New Roman" w:hAnsi="Times New Roman"/>
      <w:sz w:val="26"/>
      <w:szCs w:val="20"/>
      <w:lang w:eastAsia="pl-PL"/>
    </w:rPr>
  </w:style>
  <w:style w:type="paragraph" w:styleId="Nagwek">
    <w:name w:val="header"/>
    <w:basedOn w:val="Normalny"/>
    <w:link w:val="NagwekZnak"/>
    <w:rsid w:val="00D23D98"/>
    <w:pPr>
      <w:tabs>
        <w:tab w:val="center" w:pos="4536"/>
        <w:tab w:val="right" w:pos="9072"/>
      </w:tabs>
    </w:pPr>
  </w:style>
  <w:style w:type="character" w:customStyle="1" w:styleId="NagwekZnak">
    <w:name w:val="Nagłówek Znak"/>
    <w:link w:val="Nagwek"/>
    <w:rsid w:val="00D23D98"/>
    <w:rPr>
      <w:rFonts w:eastAsia="Times New Roman"/>
      <w:sz w:val="22"/>
      <w:szCs w:val="22"/>
      <w:lang w:eastAsia="en-US"/>
    </w:rPr>
  </w:style>
  <w:style w:type="paragraph" w:styleId="Stopka">
    <w:name w:val="footer"/>
    <w:basedOn w:val="Normalny"/>
    <w:link w:val="StopkaZnak"/>
    <w:rsid w:val="00D23D98"/>
    <w:pPr>
      <w:tabs>
        <w:tab w:val="center" w:pos="4536"/>
        <w:tab w:val="right" w:pos="9072"/>
      </w:tabs>
    </w:pPr>
  </w:style>
  <w:style w:type="character" w:customStyle="1" w:styleId="StopkaZnak">
    <w:name w:val="Stopka Znak"/>
    <w:link w:val="Stopka"/>
    <w:rsid w:val="00D23D98"/>
    <w:rPr>
      <w:rFonts w:eastAsia="Times New Roman"/>
      <w:sz w:val="22"/>
      <w:szCs w:val="22"/>
      <w:lang w:eastAsia="en-US"/>
    </w:rPr>
  </w:style>
  <w:style w:type="paragraph" w:styleId="Tekstdymka">
    <w:name w:val="Balloon Text"/>
    <w:basedOn w:val="Normalny"/>
    <w:link w:val="TekstdymkaZnak"/>
    <w:rsid w:val="00B36650"/>
    <w:pPr>
      <w:spacing w:after="0" w:line="240" w:lineRule="auto"/>
    </w:pPr>
    <w:rPr>
      <w:rFonts w:ascii="Segoe UI" w:hAnsi="Segoe UI" w:cs="Segoe UI"/>
      <w:sz w:val="18"/>
      <w:szCs w:val="18"/>
    </w:rPr>
  </w:style>
  <w:style w:type="character" w:customStyle="1" w:styleId="TekstdymkaZnak">
    <w:name w:val="Tekst dymka Znak"/>
    <w:link w:val="Tekstdymka"/>
    <w:rsid w:val="00B36650"/>
    <w:rPr>
      <w:rFonts w:ascii="Segoe UI" w:eastAsia="Times New Roman" w:hAnsi="Segoe UI" w:cs="Segoe UI"/>
      <w:sz w:val="18"/>
      <w:szCs w:val="18"/>
      <w:lang w:eastAsia="en-US"/>
    </w:rPr>
  </w:style>
  <w:style w:type="table" w:styleId="Tabela-Siatka">
    <w:name w:val="Table Grid"/>
    <w:basedOn w:val="Standardowy"/>
    <w:uiPriority w:val="39"/>
    <w:locked/>
    <w:rsid w:val="00F504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27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2" ma:contentTypeDescription="Utwórz nowy dokument." ma:contentTypeScope="" ma:versionID="9f4e78554c70a4cb80a8a55d6f991f6d">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43a7b7dd0ac2099832e66112bb9c135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F6C74-2090-4497-AF7D-F637E3EF8791}">
  <ds:schemaRefs>
    <ds:schemaRef ds:uri="http://schemas.openxmlformats.org/officeDocument/2006/bibliography"/>
  </ds:schemaRefs>
</ds:datastoreItem>
</file>

<file path=customXml/itemProps2.xml><?xml version="1.0" encoding="utf-8"?>
<ds:datastoreItem xmlns:ds="http://schemas.openxmlformats.org/officeDocument/2006/customXml" ds:itemID="{34BF3D0D-4FA6-4778-89D7-B6DFA01CD73B}"/>
</file>

<file path=customXml/itemProps3.xml><?xml version="1.0" encoding="utf-8"?>
<ds:datastoreItem xmlns:ds="http://schemas.openxmlformats.org/officeDocument/2006/customXml" ds:itemID="{B7821C20-C56D-4A31-BF99-4CDE5F19181D}"/>
</file>

<file path=customXml/itemProps4.xml><?xml version="1.0" encoding="utf-8"?>
<ds:datastoreItem xmlns:ds="http://schemas.openxmlformats.org/officeDocument/2006/customXml" ds:itemID="{A7A94E51-DAA2-413D-B3FE-5F031E724F02}"/>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9688</Characters>
  <Application>Microsoft Office Word</Application>
  <DocSecurity>0</DocSecurity>
  <Lines>236</Lines>
  <Paragraphs>93</Paragraphs>
  <ScaleCrop>false</ScaleCrop>
  <HeadingPairs>
    <vt:vector size="2" baseType="variant">
      <vt:variant>
        <vt:lpstr>Tytuł</vt:lpstr>
      </vt:variant>
      <vt:variant>
        <vt:i4>1</vt:i4>
      </vt:variant>
    </vt:vector>
  </HeadingPairs>
  <TitlesOfParts>
    <vt:vector size="1" baseType="lpstr">
      <vt:lpstr>Uchwała nr 13/S/2012</vt:lpstr>
    </vt:vector>
  </TitlesOfParts>
  <Company>Your Company Name</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13/S/2012</dc:title>
  <dc:subject/>
  <dc:creator>Your User Name</dc:creator>
  <cp:keywords/>
  <cp:lastModifiedBy>Aleksandra Chrząszcz</cp:lastModifiedBy>
  <cp:revision>3</cp:revision>
  <cp:lastPrinted>2019-09-10T07:10:00Z</cp:lastPrinted>
  <dcterms:created xsi:type="dcterms:W3CDTF">2022-04-28T07:56:00Z</dcterms:created>
  <dcterms:modified xsi:type="dcterms:W3CDTF">2022-04-28T14:21:00Z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0x01010025CFA28B3071464488EF58CB6F6053FC</vt:lpwstr>
  </property>
</Properties>
</file>