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B13F27" w:rsidR="000C5D24" w:rsidP="1A26B965" w:rsidRDefault="000C5D24" w14:paraId="7D6F524E" w14:textId="77777777">
      <w:pPr>
        <w:pStyle w:val="Nagwek1"/>
        <w:ind w:left="0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TERMINY I MIEJSCE SKŁADANIA WNIOSKÓW O PRZYZNANIE POMOCY MATERIALNEJ</w:t>
      </w:r>
    </w:p>
    <w:p w:rsidRPr="00B13F27" w:rsidR="000C5D24" w:rsidP="000C5D24" w:rsidRDefault="000C5D24" w14:paraId="32B571FF" w14:textId="77777777">
      <w:pPr>
        <w:pStyle w:val="Standard"/>
        <w:rPr>
          <w:rFonts w:asciiTheme="minorHAnsi" w:hAnsiTheme="minorHAnsi" w:cstheme="minorHAnsi"/>
          <w:color w:val="auto"/>
        </w:rPr>
      </w:pPr>
    </w:p>
    <w:p w:rsidRPr="00B13F27" w:rsidR="000C5D24" w:rsidP="000C5D24" w:rsidRDefault="000C5D24" w14:paraId="75E3209F" w14:textId="77777777">
      <w:pPr>
        <w:pStyle w:val="Standard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Pr="00B13F27" w:rsidR="000C5D24" w:rsidP="1A26B965" w:rsidRDefault="000C5D24" w14:paraId="1B22EF61" w14:textId="57271CE2">
      <w:pPr>
        <w:pStyle w:val="Wcicietrecitekstu"/>
        <w:numPr>
          <w:ilvl w:val="0"/>
          <w:numId w:val="4"/>
        </w:numPr>
        <w:tabs>
          <w:tab w:val="left" w:leader="none" w:pos="568"/>
        </w:tabs>
        <w:ind w:left="284" w:hanging="284"/>
        <w:jc w:val="left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b w:val="0"/>
          <w:bCs w:val="0"/>
          <w:color w:val="auto"/>
          <w:sz w:val="20"/>
          <w:szCs w:val="20"/>
        </w:rPr>
        <w:t>Wnioski o stypendium socjalne, stypen</w:t>
      </w:r>
      <w:r w:rsidRPr="1A26B965" w:rsidR="00BB0432">
        <w:rPr>
          <w:rFonts w:ascii="Calibri" w:hAnsi="Calibri" w:cs="Calibri" w:asciiTheme="minorAscii" w:hAnsiTheme="minorAscii" w:cstheme="minorAscii"/>
          <w:b w:val="0"/>
          <w:bCs w:val="0"/>
          <w:color w:val="auto"/>
          <w:sz w:val="20"/>
          <w:szCs w:val="20"/>
        </w:rPr>
        <w:t>dium dla osób niepełnosprawnych i</w:t>
      </w:r>
      <w:r w:rsidRPr="1A26B965" w:rsidR="000C5D24">
        <w:rPr>
          <w:rFonts w:ascii="Calibri" w:hAnsi="Calibri" w:cs="Calibri" w:asciiTheme="minorAscii" w:hAnsiTheme="minorAscii" w:cstheme="minorAscii"/>
          <w:b w:val="0"/>
          <w:bCs w:val="0"/>
          <w:color w:val="auto"/>
          <w:sz w:val="20"/>
          <w:szCs w:val="20"/>
        </w:rPr>
        <w:t xml:space="preserve"> zapomogi należy składać w</w:t>
      </w:r>
      <w:r w:rsidRPr="1A26B965" w:rsidR="7761F5D2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auto"/>
          <w:sz w:val="18"/>
          <w:szCs w:val="18"/>
          <w:lang w:val="pl-PL"/>
        </w:rPr>
        <w:t xml:space="preserve"> Centrum Obsługi Spraw Społecznych i Socjalnych Studentów i Doktorantów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,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ul. Lumumby 1, 91-</w:t>
      </w:r>
      <w:r w:rsidRPr="1A26B965" w:rsidR="0084069E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404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Łódź.</w:t>
      </w:r>
    </w:p>
    <w:p w:rsidRPr="00B13F27" w:rsidR="000C5D24" w:rsidP="1A26B965" w:rsidRDefault="000C5D24" w14:paraId="060A0459" w14:textId="047D9B4A">
      <w:pPr>
        <w:pStyle w:val="Wcicietrecitekstu"/>
        <w:tabs>
          <w:tab w:val="left" w:leader="none" w:pos="568"/>
        </w:tabs>
        <w:ind w:left="0"/>
        <w:jc w:val="left"/>
        <w:rPr>
          <w:rFonts w:ascii="Times New Roman" w:hAnsi="Times New Roman" w:eastAsia="Times New Roman" w:cs="Times New Roman"/>
          <w:color w:val="00000A"/>
          <w:sz w:val="24"/>
          <w:szCs w:val="24"/>
        </w:rPr>
      </w:pPr>
    </w:p>
    <w:p w:rsidRPr="00B13F27" w:rsidR="000C5D24" w:rsidP="1A26B965" w:rsidRDefault="000C5D24" w14:paraId="20B74780" w14:textId="3D36F7E2">
      <w:pPr>
        <w:pStyle w:val="Wcicietrecitekstu"/>
        <w:numPr>
          <w:ilvl w:val="0"/>
          <w:numId w:val="4"/>
        </w:numPr>
        <w:tabs>
          <w:tab w:val="left" w:leader="none" w:pos="568"/>
        </w:tabs>
        <w:ind w:left="284" w:hanging="284"/>
        <w:jc w:val="left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Wnioski o stypendium rektora składane są we właściwym dziekanacie.</w:t>
      </w:r>
    </w:p>
    <w:p w:rsidRPr="00B13F27" w:rsidR="000C5D24" w:rsidP="00BB0432" w:rsidRDefault="000C5D24" w14:paraId="323ECACC" w14:textId="77777777">
      <w:pPr>
        <w:pStyle w:val="Wcicietrecitekstu"/>
        <w:tabs>
          <w:tab w:val="left" w:pos="284"/>
        </w:tabs>
        <w:ind w:left="0" w:firstLine="0"/>
        <w:jc w:val="left"/>
        <w:rPr>
          <w:rFonts w:asciiTheme="minorHAnsi" w:hAnsiTheme="minorHAnsi" w:cstheme="minorHAnsi"/>
          <w:color w:val="auto"/>
          <w:sz w:val="20"/>
          <w:szCs w:val="20"/>
        </w:rPr>
      </w:pPr>
    </w:p>
    <w:p w:rsidRPr="00B13F27" w:rsidR="000C5D24" w:rsidP="28655209" w:rsidRDefault="000C5D24" w14:paraId="2DF6D106" w14:textId="20CC1A81">
      <w:pPr>
        <w:pStyle w:val="Wcicietrecitekstu"/>
        <w:numPr>
          <w:ilvl w:val="0"/>
          <w:numId w:val="4"/>
        </w:numPr>
        <w:tabs>
          <w:tab w:val="left" w:pos="284"/>
        </w:tabs>
        <w:ind w:left="284" w:hanging="284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Odwołania od decyzji w sprawie stypendium rektora, stypendium socjalnego, stypendium dla osób </w:t>
      </w:r>
      <w:r w:rsidRPr="1A26B965" w:rsidR="00BB0432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       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niepełn</w:t>
      </w:r>
      <w:r w:rsidRPr="1A26B965" w:rsidR="00BB0432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osprawnych i zapomóg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należy składać w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C</w:t>
      </w:r>
      <w:r w:rsidRPr="1A26B965" w:rsidR="75A4327A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entrum Obsługi Spraw Społecznych i Socjalnych Studentów i Doktorantów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,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ul. Lumumby 1, 91-</w:t>
      </w:r>
      <w:r w:rsidRPr="1A26B965" w:rsidR="0084069E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404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Łódź.</w:t>
      </w:r>
    </w:p>
    <w:p w:rsidRPr="00B13F27" w:rsidR="000C5D24" w:rsidP="000C5D24" w:rsidRDefault="000C5D24" w14:paraId="70BD8FA5" w14:textId="77777777">
      <w:pPr>
        <w:pStyle w:val="Wcicietrecitekstu"/>
        <w:ind w:left="284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:rsidRPr="00B13F27" w:rsidR="000C5D24" w:rsidP="00D03B78" w:rsidRDefault="0084069E" w14:paraId="333C9D2F" w14:textId="28AFB766">
      <w:pPr>
        <w:pStyle w:val="Wcicietrecitekstu"/>
        <w:numPr>
          <w:ilvl w:val="0"/>
          <w:numId w:val="4"/>
        </w:numPr>
        <w:tabs>
          <w:tab w:val="left" w:pos="568"/>
        </w:tabs>
        <w:ind w:left="284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84069E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Terminy składania wniosków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:</w:t>
      </w:r>
    </w:p>
    <w:p w:rsidRPr="00B13F27" w:rsidR="000C5D24" w:rsidP="000C5D24" w:rsidRDefault="000C5D24" w14:paraId="3766F1CF" w14:textId="77777777">
      <w:pPr>
        <w:pStyle w:val="Akapitzlist"/>
        <w:rPr>
          <w:rFonts w:asciiTheme="minorHAnsi" w:hAnsiTheme="minorHAnsi" w:cstheme="minorHAnsi"/>
          <w:color w:val="auto"/>
          <w:sz w:val="20"/>
          <w:szCs w:val="20"/>
        </w:rPr>
      </w:pPr>
    </w:p>
    <w:p w:rsidRPr="00B13F27" w:rsidR="000C5D24" w:rsidP="0084069E" w:rsidRDefault="000C5D24" w14:paraId="4D2E9DEA" w14:textId="781B9A72">
      <w:pPr>
        <w:pStyle w:val="Wcicietrecitekstu"/>
        <w:ind w:left="284" w:firstLine="0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Studenci / doktoranci</w:t>
      </w:r>
    </w:p>
    <w:p w:rsidRPr="00B13F27" w:rsidR="000C5D24" w:rsidP="1A26B965" w:rsidRDefault="000C5D24" w14:paraId="106CFBB8" w14:textId="54AC6612">
      <w:pPr>
        <w:pStyle w:val="Standard"/>
        <w:ind w:left="0"/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O stypendium </w:t>
      </w:r>
      <w:r w:rsidRPr="1A26B965" w:rsidR="00252E52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socjalne – od 4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maja</w:t>
      </w:r>
      <w:r w:rsidRPr="1A26B965" w:rsidR="00252E52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do 23 czerwca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,</w:t>
      </w:r>
    </w:p>
    <w:p w:rsidRPr="00B13F27" w:rsidR="000C5D24" w:rsidP="000C5D24" w:rsidRDefault="000C5D24" w14:paraId="40016FED" w14:textId="3B5FA3FA">
      <w:pPr>
        <w:pStyle w:val="Standard"/>
        <w:numPr>
          <w:ilvl w:val="0"/>
          <w:numId w:val="6"/>
        </w:numPr>
        <w:tabs>
          <w:tab w:val="left" w:pos="-86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O stypendium dl</w:t>
      </w:r>
      <w:r w:rsidRPr="1A26B965" w:rsidR="006B7C40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a osób niepełnosprawnych – do 31 października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,</w:t>
      </w:r>
    </w:p>
    <w:p w:rsidRPr="00B13F27" w:rsidR="000C5D24" w:rsidP="000C5D24" w:rsidRDefault="000C5D24" w14:paraId="122FA5C7" w14:textId="42ECFC3F">
      <w:pPr>
        <w:pStyle w:val="Akapitzlist"/>
        <w:numPr>
          <w:ilvl w:val="0"/>
          <w:numId w:val="6"/>
        </w:numPr>
        <w:tabs>
          <w:tab w:val="left" w:pos="555"/>
        </w:tabs>
        <w:jc w:val="both"/>
        <w:rPr>
          <w:rFonts w:asciiTheme="minorHAnsi" w:hAnsiTheme="minorHAnsi" w:cstheme="minorHAnsi"/>
          <w:color w:val="auto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O stypendium rektora – w terminie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określonym w załączniku 23 do Regulaminu świadczeń stypendialnych dla studentów i doktorantów UŁ w sprawie określenia liczby studentów i</w:t>
      </w:r>
      <w:r w:rsidRPr="1A26B965" w:rsidR="00EB3180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 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doktorantów uprawnionych do stypendium rektora UŁ w danym roku akademickim.</w:t>
      </w:r>
    </w:p>
    <w:p w:rsidRPr="00B13F27" w:rsidR="000C5D24" w:rsidP="000C5D24" w:rsidRDefault="000C5D24" w14:paraId="48F76C21" w14:textId="77777777">
      <w:pPr>
        <w:pStyle w:val="Standard"/>
        <w:jc w:val="both"/>
        <w:rPr>
          <w:rFonts w:asciiTheme="minorHAnsi" w:hAnsiTheme="minorHAnsi" w:cstheme="minorHAnsi"/>
          <w:strike/>
          <w:color w:val="auto"/>
          <w:sz w:val="20"/>
          <w:szCs w:val="20"/>
        </w:rPr>
      </w:pPr>
    </w:p>
    <w:p w:rsidRPr="00B13F27" w:rsidR="000C5D24" w:rsidP="0084069E" w:rsidRDefault="000C5D24" w14:paraId="1DBC8214" w14:textId="5600F1D0">
      <w:pPr>
        <w:pStyle w:val="Standard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Osoby przyjęte na pierwszy rok studiów w UŁ</w:t>
      </w:r>
    </w:p>
    <w:p w:rsidRPr="00B13F27" w:rsidR="000C5D24" w:rsidP="000C5D24" w:rsidRDefault="000C5D24" w14:paraId="63D6F8A7" w14:textId="6DDF24A7">
      <w:pPr>
        <w:pStyle w:val="Standard"/>
        <w:numPr>
          <w:ilvl w:val="1"/>
          <w:numId w:val="8"/>
        </w:numPr>
        <w:tabs>
          <w:tab w:val="left" w:pos="1134"/>
        </w:tabs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 xml:space="preserve">O stypendium socjalne – </w:t>
      </w:r>
      <w:r w:rsidR="00BA7A47">
        <w:rPr>
          <w:rFonts w:asciiTheme="minorHAnsi" w:hAnsiTheme="minorHAnsi" w:cstheme="minorHAnsi"/>
          <w:color w:val="auto"/>
          <w:sz w:val="20"/>
          <w:szCs w:val="20"/>
        </w:rPr>
        <w:t xml:space="preserve">do </w:t>
      </w:r>
      <w:bookmarkStart w:name="_GoBack" w:id="0"/>
      <w:bookmarkEnd w:id="0"/>
      <w:r w:rsidR="006B7C40">
        <w:rPr>
          <w:rFonts w:asciiTheme="minorHAnsi" w:hAnsiTheme="minorHAnsi" w:cstheme="minorHAnsi"/>
          <w:color w:val="auto"/>
          <w:sz w:val="20"/>
          <w:szCs w:val="20"/>
        </w:rPr>
        <w:t xml:space="preserve">15 września lub 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>w terminie 14 dni od daty złożenia dokumentów do komisji rekrutacyjnej,</w:t>
      </w:r>
    </w:p>
    <w:p w:rsidRPr="00B13F27" w:rsidR="000C5D24" w:rsidP="1A26B965" w:rsidRDefault="000C5D24" w14:paraId="490E1222" w14:textId="58D4FD05">
      <w:pPr>
        <w:pStyle w:val="Standard"/>
        <w:numPr>
          <w:ilvl w:val="1"/>
          <w:numId w:val="8"/>
        </w:numPr>
        <w:tabs>
          <w:tab w:val="left" w:pos="1134"/>
        </w:tabs>
        <w:ind w:left="567" w:hanging="283"/>
        <w:jc w:val="both"/>
        <w:rPr>
          <w:rFonts w:ascii="Calibri" w:hAnsi="Calibri" w:cs="Calibri" w:asciiTheme="minorAscii" w:hAnsiTheme="minorAscii" w:cstheme="minorAscii"/>
          <w:color w:val="auto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O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stypendium dla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osób niepełnosprawnych – </w:t>
      </w:r>
      <w:r w:rsidRPr="1A26B965" w:rsidR="006B7C40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do 31 października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,</w:t>
      </w:r>
    </w:p>
    <w:p w:rsidRPr="00B13F27" w:rsidR="000C5D24" w:rsidP="000C5D24" w:rsidRDefault="000C5D24" w14:paraId="3BDA78AB" w14:textId="16EDFB93">
      <w:pPr>
        <w:pStyle w:val="Standard"/>
        <w:numPr>
          <w:ilvl w:val="1"/>
          <w:numId w:val="8"/>
        </w:numPr>
        <w:tabs>
          <w:tab w:val="left" w:pos="1134"/>
        </w:tabs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 xml:space="preserve">O stypendium rektora dla studentów przyjętych na pierwszy rok studiów w roku złożenia egzaminu maturalnego, którzy są laureatami olimpiady międzynarodowej albo laureatami lub finalistami olimpiady stopnia centralnego, o których mowa w przepisach o systemie oświaty lub medalistami co najmniej współzawodnictwa sportowego o tytuł Mistrza Polski w danym sporcie, o którym mowa w przepisach 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 xml:space="preserve">o sporcie – w terminie </w:t>
      </w:r>
      <w:r w:rsidRPr="00B13F27">
        <w:rPr>
          <w:rFonts w:asciiTheme="minorHAnsi" w:hAnsiTheme="minorHAnsi" w:cstheme="minorHAnsi"/>
          <w:bCs/>
          <w:color w:val="auto"/>
          <w:sz w:val="20"/>
          <w:szCs w:val="20"/>
        </w:rPr>
        <w:t>określonym w</w:t>
      </w:r>
      <w:r w:rsidRPr="00B13F27" w:rsidR="00EB318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z </w:t>
      </w:r>
      <w:r w:rsidRPr="00B13F27">
        <w:rPr>
          <w:rFonts w:asciiTheme="minorHAnsi" w:hAnsiTheme="minorHAnsi" w:cstheme="minorHAnsi"/>
          <w:bCs/>
          <w:color w:val="auto"/>
          <w:sz w:val="20"/>
          <w:szCs w:val="20"/>
        </w:rPr>
        <w:t>załączniku 23 do Regulaminu świadczeń stypendialnych dla studentów i doktorantów UŁ w sprawie określenia liczby studentów i doktorantów uprawnionych do stypendium rektora dla najlepszych studentów i stypendium dla najlepszych doktorantów UŁ w danym roku akademickim.</w:t>
      </w:r>
    </w:p>
    <w:p w:rsidRPr="00B13F27" w:rsidR="000C5D24" w:rsidP="000C5D24" w:rsidRDefault="000C5D24" w14:paraId="47541B8D" w14:textId="77777777">
      <w:pPr>
        <w:pStyle w:val="Standard"/>
        <w:jc w:val="both"/>
        <w:rPr>
          <w:rFonts w:asciiTheme="minorHAnsi" w:hAnsiTheme="minorHAnsi" w:cstheme="minorHAnsi"/>
          <w:strike/>
          <w:color w:val="auto"/>
          <w:sz w:val="20"/>
          <w:szCs w:val="20"/>
        </w:rPr>
      </w:pPr>
    </w:p>
    <w:p w:rsidRPr="00B13F27" w:rsidR="000C5D24" w:rsidP="000C5D24" w:rsidRDefault="000C5D24" w14:paraId="00B1CB7D" w14:textId="77777777">
      <w:pPr>
        <w:pStyle w:val="Standard"/>
        <w:tabs>
          <w:tab w:val="left" w:pos="568"/>
        </w:tabs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Jeżeli termin do złożenia wniosku przewidzianego niniejszym regulaminem upływa w sobotę lub w dzień uznany ustawowo za wolny od pracy, termin do złożenia wniosku upływa w pierwszym kolejnym dniu roboczym.</w:t>
      </w:r>
    </w:p>
    <w:p w:rsidRPr="00B13F27" w:rsidR="000C5D24" w:rsidP="000C5D24" w:rsidRDefault="000C5D24" w14:paraId="3FD83707" w14:textId="77777777">
      <w:pPr>
        <w:pStyle w:val="Standard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Pr="00B13F27" w:rsidR="000C5D24" w:rsidP="000C5D24" w:rsidRDefault="000C5D24" w14:paraId="64C3DF5C" w14:textId="77777777">
      <w:pPr>
        <w:pStyle w:val="Nagwek1"/>
        <w:numPr>
          <w:ilvl w:val="0"/>
          <w:numId w:val="9"/>
        </w:numPr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ZASADY DOKUMENTOWANIA SYTUACJI MATERIALNEJ</w:t>
      </w:r>
    </w:p>
    <w:p w:rsidRPr="00B13F27" w:rsidR="000C5D24" w:rsidP="000C5D24" w:rsidRDefault="000C5D24" w14:paraId="495CAD3B" w14:textId="77777777">
      <w:pPr>
        <w:pStyle w:val="Standard"/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</w:p>
    <w:p w:rsidRPr="00B13F27" w:rsidR="000C5D24" w:rsidP="000C5D24" w:rsidRDefault="00D03B78" w14:paraId="036E7DFD" w14:textId="575C0CF3">
      <w:pPr>
        <w:pStyle w:val="Standard"/>
        <w:tabs>
          <w:tab w:val="left" w:pos="720"/>
        </w:tabs>
        <w:ind w:left="360" w:hanging="360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b/>
          <w:color w:val="auto"/>
          <w:sz w:val="20"/>
          <w:szCs w:val="20"/>
        </w:rPr>
        <w:t xml:space="preserve">1. </w:t>
      </w:r>
      <w:r w:rsidRPr="00B13F27" w:rsidR="000C5D24">
        <w:rPr>
          <w:rFonts w:asciiTheme="minorHAnsi" w:hAnsiTheme="minorHAnsi" w:cstheme="minorHAnsi"/>
          <w:b/>
          <w:color w:val="auto"/>
          <w:sz w:val="20"/>
          <w:szCs w:val="20"/>
        </w:rPr>
        <w:t>Studenci mogą ubiegać się o przyznanie pomocy materialnej na podstawie następujących dokumentów:</w:t>
      </w:r>
    </w:p>
    <w:p w:rsidRPr="00B13F27" w:rsidR="000C5D24" w:rsidP="000C5D24" w:rsidRDefault="000C5D24" w14:paraId="40E40650" w14:textId="7777777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color w:val="auto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 xml:space="preserve">Stypendium socjalne – </w:t>
      </w:r>
      <w:r w:rsidRPr="00B13F2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wniosek o stypendium socjalne (zał. nr 3);</w:t>
      </w:r>
    </w:p>
    <w:p w:rsidRPr="00B13F27" w:rsidR="000C5D24" w:rsidP="000C5D24" w:rsidRDefault="000C5D24" w14:paraId="06D2F5C5" w14:textId="77777777">
      <w:pPr>
        <w:pStyle w:val="Standard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</w:rPr>
      </w:pPr>
      <w:r w:rsidRPr="00B13F27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Stypendium dla osób niepełnosprawnych – </w:t>
      </w:r>
      <w:r w:rsidRPr="00B13F2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 xml:space="preserve">wniosek o stypendium dla osób niepełnosprawnych stanowi formularz wygenerowany z systemu </w:t>
      </w:r>
      <w:proofErr w:type="spellStart"/>
      <w:r w:rsidRPr="00B13F2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Usosweb</w:t>
      </w:r>
      <w:proofErr w:type="spellEnd"/>
    </w:p>
    <w:p w:rsidRPr="00B13F27" w:rsidR="000C5D24" w:rsidP="000C5D24" w:rsidRDefault="000C5D24" w14:paraId="662B3DB6" w14:textId="77777777">
      <w:pPr>
        <w:pStyle w:val="Standard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</w:rPr>
      </w:pPr>
      <w:r w:rsidRPr="00B13F27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Wniosek o zapomogę – </w:t>
      </w:r>
      <w:r w:rsidRPr="00B13F2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 xml:space="preserve">wniosek o zapomogę stanowi formularz wygenerowany z systemu </w:t>
      </w:r>
      <w:proofErr w:type="spellStart"/>
      <w:r w:rsidRPr="00B13F2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Usosweb</w:t>
      </w:r>
      <w:proofErr w:type="spellEnd"/>
    </w:p>
    <w:p w:rsidRPr="00B13F27" w:rsidR="000C5D24" w:rsidP="000C5D24" w:rsidRDefault="000C5D24" w14:paraId="23EB6355" w14:textId="77777777">
      <w:pPr>
        <w:pStyle w:val="Standard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</w:rPr>
      </w:pPr>
      <w:r w:rsidRPr="00B13F27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Stypendium rektora – </w:t>
      </w:r>
      <w:r w:rsidRPr="00B13F2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 xml:space="preserve">wniosek o stypendium rektora stanowi formularz wygenerowany z systemu </w:t>
      </w:r>
      <w:proofErr w:type="spellStart"/>
      <w:r w:rsidRPr="00B13F2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Usosweb</w:t>
      </w:r>
      <w:proofErr w:type="spellEnd"/>
      <w:r w:rsidRPr="00B13F2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;</w:t>
      </w:r>
    </w:p>
    <w:p w:rsidRPr="00B13F27" w:rsidR="000C5D24" w:rsidP="000C5D24" w:rsidRDefault="000C5D24" w14:paraId="184E8328" w14:textId="77777777">
      <w:pPr>
        <w:pStyle w:val="Standard"/>
        <w:numPr>
          <w:ilvl w:val="0"/>
          <w:numId w:val="12"/>
        </w:numPr>
        <w:jc w:val="both"/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</w:pPr>
      <w:r w:rsidRPr="00B13F27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>Odwołanie od decyzji rektora w sprawie stypendium rektora dla studentów (zał. nr 5);</w:t>
      </w:r>
    </w:p>
    <w:p w:rsidRPr="00B13F27" w:rsidR="000C5D24" w:rsidP="1A26B965" w:rsidRDefault="000C5D24" w14:paraId="170A4FC1" w14:textId="36779EBF">
      <w:pPr>
        <w:pStyle w:val="Standard"/>
        <w:numPr>
          <w:ilvl w:val="0"/>
          <w:numId w:val="12"/>
        </w:numPr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  <w:u w:val="single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u w:val="single"/>
        </w:rPr>
        <w:t>Odwołanie od decyzji rektora w sprawie stypendium rektora dla</w:t>
      </w:r>
      <w:r w:rsidRPr="1A26B965" w:rsidR="6EEF6F59">
        <w:rPr>
          <w:rFonts w:ascii="Calibri" w:hAnsi="Calibri" w:cs="Calibri" w:asciiTheme="minorAscii" w:hAnsiTheme="minorAscii" w:cstheme="minorAscii"/>
          <w:color w:val="auto"/>
          <w:sz w:val="20"/>
          <w:szCs w:val="20"/>
          <w:u w:val="single"/>
        </w:rPr>
        <w:t xml:space="preserve">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u w:val="single"/>
        </w:rPr>
        <w:t>doktorantów (zał. nr 6).</w:t>
      </w:r>
    </w:p>
    <w:p w:rsidRPr="00B13F27" w:rsidR="000C5D24" w:rsidP="000C5D24" w:rsidRDefault="000C5D24" w14:paraId="01A257C3" w14:textId="77777777">
      <w:pPr>
        <w:pStyle w:val="Standard"/>
        <w:ind w:left="1080"/>
        <w:jc w:val="both"/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</w:pPr>
    </w:p>
    <w:p w:rsidRPr="00B13F27" w:rsidR="000C5D24" w:rsidP="1A26B965" w:rsidRDefault="000C5D24" w14:paraId="4C0D939A" w14:textId="7D3B8467">
      <w:pPr>
        <w:pStyle w:val="Akapitzlist"/>
        <w:numPr>
          <w:ilvl w:val="0"/>
          <w:numId w:val="14"/>
        </w:numPr>
        <w:ind w:left="350"/>
        <w:jc w:val="both"/>
        <w:rPr>
          <w:rFonts w:ascii="Calibri" w:hAnsi="Calibri" w:eastAsia="Calibri" w:cs="Tahoma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  <w:t>Miesięczną wysokość dochodu na osobę w rodzinie studenta uprawniającego do ubiegania się o stypendium socjalne ustala się na zasadach określonych w ustawie z dnia 28 listopada 2003 r. o świadczeniach rodzinnych (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  <w:t>t.j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  <w:t xml:space="preserve">. </w:t>
      </w:r>
      <w:r w:rsidRPr="1A26B965" w:rsidR="697BD3C1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  <w:t>Dz. U. z 2023 r., poz. 390 ze zm.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  <w:t>), przedstawiając dokumenty potwierdzające</w:t>
      </w:r>
      <w:r w:rsidRPr="1A26B965" w:rsidR="00BB0432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  <w:t xml:space="preserve"> dochody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  <w:t>:</w:t>
      </w:r>
    </w:p>
    <w:p w:rsidRPr="00B13F27" w:rsidR="000C5D24" w:rsidP="1A26B965" w:rsidRDefault="000C5D24" w14:paraId="3FE46AE4" w14:textId="7F1A3CF6">
      <w:pPr>
        <w:pStyle w:val="Akapitzlist"/>
        <w:numPr>
          <w:ilvl w:val="0"/>
          <w:numId w:val="16"/>
        </w:numPr>
        <w:shd w:val="clear" w:color="auto" w:fill="FFFFFF" w:themeFill="background1"/>
        <w:jc w:val="both"/>
        <w:rPr>
          <w:rFonts w:ascii="Calibri" w:hAnsi="Calibri" w:eastAsia="Calibri" w:cs="Tahoma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zaświadczenia z urzędu skarbowego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 albo 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oświadczenia członków rodziny o dochodzie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 (</w:t>
      </w:r>
      <w:hyperlink r:id="R2d91bb11604648f7">
        <w:r w:rsidRPr="1A26B965" w:rsidR="000C5D24">
          <w:rPr>
            <w:rStyle w:val="Internetlink"/>
            <w:rFonts w:ascii="Calibri" w:hAnsi="Calibri" w:cs="Calibri" w:asciiTheme="minorAscii" w:hAnsiTheme="minorAscii" w:cstheme="minorAscii"/>
            <w:color w:val="auto"/>
            <w:sz w:val="20"/>
            <w:szCs w:val="20"/>
          </w:rPr>
          <w:t>zał. nr 13</w:t>
        </w:r>
      </w:hyperlink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) podlegającym opodatkowaniu na zasadach określonych w art. 27, 30b, 30c i 30e i art. 30f ustawy z dnia 26 lipca 1991 r. o podatku dochodowym od osób fizycznych (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t.j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.</w:t>
      </w:r>
      <w:r w:rsidRPr="1A26B965" w:rsidR="33FAEAEF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Dz. U. z 2022 r. poz. 2647 ze zm.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), osiągniętym w roku kalendarzowym poprzedzającym rok akademicki, na który jest składany wniosek, pomniejszone o koszty uzyskania przychodu, należny podatek dochodowy od osób fizycznych, składki na ubezpieczenie społeczne niezaliczone do kosztów uzyskania przychodu oraz 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składki na ubezpieczenie zdrowotne faktycznie odprowadzone w wysokości 9%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(*składki zdrowotne mogą być udokumentowane zaświadczeniem z ZUS, od pracodawcy lub na zał. nr 15 do Regulaminu),</w:t>
      </w:r>
      <w:r w:rsidRPr="1A26B965" w:rsidR="00252E52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</w:t>
      </w:r>
      <w:r w:rsidRPr="1A26B965" w:rsidR="00252E52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albo </w:t>
      </w:r>
      <w:r w:rsidRPr="1A26B965" w:rsidR="00252E52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oświadczenia członków rodziny o dochodzie</w:t>
      </w:r>
      <w:r w:rsidRPr="1A26B965" w:rsidR="00252E52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 (</w:t>
      </w:r>
      <w:hyperlink r:id="Ra50211eb40df48d3">
        <w:r w:rsidRPr="1A26B965" w:rsidR="00252E52">
          <w:rPr>
            <w:rStyle w:val="Internetlink"/>
            <w:rFonts w:ascii="Calibri" w:hAnsi="Calibri" w:cs="Calibri" w:asciiTheme="minorAscii" w:hAnsiTheme="minorAscii" w:cstheme="minorAscii"/>
            <w:color w:val="auto"/>
            <w:sz w:val="20"/>
            <w:szCs w:val="20"/>
          </w:rPr>
          <w:t>zał. nr 13</w:t>
        </w:r>
      </w:hyperlink>
      <w:r w:rsidRPr="1A26B965" w:rsidR="00252E52">
        <w:rPr>
          <w:rStyle w:val="Internetlink"/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a</w:t>
      </w:r>
      <w:r w:rsidRPr="1A26B965" w:rsidR="00252E52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) w przypadku studentów </w:t>
      </w:r>
      <w:r w:rsidRPr="1A26B965" w:rsidR="00252E52">
        <w:rPr>
          <w:rFonts w:ascii="Calibri" w:hAnsi="Calibri" w:cs="Calibri" w:asciiTheme="minorAscii" w:hAnsiTheme="minorAscii" w:cstheme="minorAscii"/>
          <w:strike w:val="1"/>
          <w:color w:val="auto"/>
          <w:sz w:val="20"/>
          <w:szCs w:val="20"/>
          <w:lang w:eastAsia="pl-PL"/>
        </w:rPr>
        <w:t xml:space="preserve"> </w:t>
      </w:r>
      <w:r w:rsidRPr="1A26B965" w:rsidR="00BC4C09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cudzoziemców </w:t>
      </w:r>
      <w:r w:rsidRPr="1A26B965" w:rsidR="00252E52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pochodzących z Ukrainy, którzy z powodu wojny nie są w stanie do</w:t>
      </w:r>
      <w:r w:rsidRPr="1A26B965" w:rsidR="00800118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starczyć zaświadczeń o dochodach z</w:t>
      </w:r>
      <w:r w:rsidRPr="1A26B965" w:rsidR="00B13F27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 </w:t>
      </w:r>
      <w:r w:rsidRPr="1A26B965" w:rsidR="00800118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właściwych urzędów,</w:t>
      </w:r>
    </w:p>
    <w:p w:rsidRPr="00B13F27" w:rsidR="00EB3180" w:rsidP="00EB3180" w:rsidRDefault="000C5D24" w14:paraId="51F20B74" w14:textId="77777777">
      <w:pPr>
        <w:pStyle w:val="Akapitzlist"/>
        <w:numPr>
          <w:ilvl w:val="0"/>
          <w:numId w:val="16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zaświadczenie z urzędu skarbowego lub pisemne oświadczenie o wysokości rozliczenia netto z PIT ULG-1,</w:t>
      </w:r>
    </w:p>
    <w:p w:rsidRPr="00B13F27" w:rsidR="00EB3180" w:rsidP="00EB3180" w:rsidRDefault="000C5D24" w14:paraId="0BE572D1" w14:textId="0CB7F4CE">
      <w:pPr>
        <w:pStyle w:val="Akapitzlist"/>
        <w:numPr>
          <w:ilvl w:val="0"/>
          <w:numId w:val="16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zaświadczenia</w:t>
      </w:r>
      <w:r w:rsidRPr="1A26B965" w:rsidR="00B2556B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 xml:space="preserve"> z urzędu skarbowego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 xml:space="preserve"> członków rodziny rozliczających się na podstawie przepisów o</w:t>
      </w:r>
      <w:r w:rsidRPr="1A26B965" w:rsidR="00B13F27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 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zryczałtowanym podatku dochodowym 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od niektórych przychodów osiąganych przez osoby fizyczne zawierające informacje odpowiednio o: formie opłaconego podatku, wysokości przychodu, stawce podatku, wysokości opłaconego podatku,</w:t>
      </w:r>
    </w:p>
    <w:p w:rsidRPr="00B13F27" w:rsidR="00EB3180" w:rsidP="00EB3180" w:rsidRDefault="000C5D24" w14:paraId="2170FB3A" w14:textId="77777777">
      <w:pPr>
        <w:pStyle w:val="Akapitzlist"/>
        <w:numPr>
          <w:ilvl w:val="0"/>
          <w:numId w:val="16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alimenty na rzecz dzieci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 (wyrok alimentacyjny, ugoda zawarta przed mediatorem lub inny tytuł wykonawczy pochodzący lub zatwierdzony przez sąd, zaświadczenie od komornika o prowadzonej egzekucji w roku kalendarzowym poprzedzającym rok akademicki, zaświadczenie o wypłacanych świadczeniach z funduszu alimentacyjnego w roku kalendarzowym poprzedzającym rok akademicki),</w:t>
      </w:r>
    </w:p>
    <w:p w:rsidRPr="00B13F27" w:rsidR="00EB3180" w:rsidP="00EB3180" w:rsidRDefault="000C5D24" w14:paraId="06CF203B" w14:textId="77777777">
      <w:pPr>
        <w:pStyle w:val="Akapitzlist"/>
        <w:numPr>
          <w:ilvl w:val="0"/>
          <w:numId w:val="16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dochody uzyskane z gospodarstwa rolnego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,</w:t>
      </w:r>
    </w:p>
    <w:p w:rsidRPr="00B13F27" w:rsidR="00EB3180" w:rsidP="00EB3180" w:rsidRDefault="000C5D24" w14:paraId="74237B5C" w14:textId="48457715">
      <w:pPr>
        <w:pStyle w:val="Akapitzlist"/>
        <w:numPr>
          <w:ilvl w:val="0"/>
          <w:numId w:val="16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dokument o korzystaniu z pomocy społecznej lub socjalnej</w:t>
      </w:r>
      <w:r w:rsidRPr="1A26B965" w:rsidR="00144FF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 (MOPS/GOPS/OPS) </w:t>
      </w:r>
      <w:r w:rsidRPr="1A26B965" w:rsidR="00144FF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lub</w:t>
      </w:r>
      <w:r w:rsidRPr="1A26B965" w:rsidR="00144FF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zaświadczeni</w:t>
      </w:r>
      <w:r w:rsidRPr="1A26B965" w:rsidR="00144FF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e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 xml:space="preserve"> o</w:t>
      </w:r>
      <w:r w:rsidRPr="1A26B965" w:rsidR="00B13F27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 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sytuacji dochodowej i majątkowej studenta i jego rodziny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(MOPS/GOPS/OPS)</w:t>
      </w:r>
    </w:p>
    <w:p w:rsidRPr="00B13F27" w:rsidR="000C5D24" w:rsidP="00EB3180" w:rsidRDefault="000C5D24" w14:paraId="2012AEBC" w14:textId="28377F83">
      <w:pPr>
        <w:pStyle w:val="Akapitzlist"/>
        <w:numPr>
          <w:ilvl w:val="0"/>
          <w:numId w:val="16"/>
        </w:numPr>
        <w:shd w:val="clear" w:color="auto" w:fill="FFFFFF"/>
        <w:jc w:val="both"/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oświadczenie wnioskodawcy o dochodzie niepodlegającym opodatkowaniu podatkiem dochodowym od osób fizycznych dotyczący członków rodziny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 (</w:t>
      </w:r>
      <w:hyperlink r:id="R18e3cb4db6a04874">
        <w:r w:rsidRPr="1A26B965" w:rsidR="000C5D24">
          <w:rPr>
            <w:rStyle w:val="Internetlink"/>
            <w:rFonts w:ascii="Calibri" w:hAnsi="Calibri" w:cs="Calibri" w:asciiTheme="minorAscii" w:hAnsiTheme="minorAscii" w:cstheme="minorAscii"/>
            <w:color w:val="auto"/>
            <w:sz w:val="20"/>
            <w:szCs w:val="20"/>
          </w:rPr>
          <w:t>zał. nr 12</w:t>
        </w:r>
      </w:hyperlink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) osiągniętym w roku kalendarzowym poprzedzającym rok akademicki, na który jest składany wniosek, na podstawie przepisów o podatku dochodowym od osób fizycznych wymienione w art. 3 pkt 1 lit. c) ww. ustawy:</w:t>
      </w:r>
    </w:p>
    <w:p w:rsidRPr="00B13F27" w:rsidR="000C5D24" w:rsidP="000C5D24" w:rsidRDefault="000C5D24" w14:paraId="07C626A3" w14:textId="77777777">
      <w:pPr>
        <w:pStyle w:val="Akapitzlist"/>
        <w:numPr>
          <w:ilvl w:val="0"/>
          <w:numId w:val="19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b/>
          <w:color w:val="auto"/>
          <w:sz w:val="20"/>
          <w:szCs w:val="20"/>
          <w:lang w:eastAsia="pl-PL"/>
        </w:rPr>
        <w:t>zasiłki</w:t>
      </w:r>
      <w:r w:rsidRPr="00B13F27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 xml:space="preserve"> chorobowe</w:t>
      </w: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 określone w przepisach o ubezpieczeniu społecznym rolników oraz w przepisach o systemie ubezpieczeń społecznych,</w:t>
      </w:r>
    </w:p>
    <w:p w:rsidRPr="00B13F27" w:rsidR="000C5D24" w:rsidP="000C5D24" w:rsidRDefault="000C5D24" w14:paraId="57C4E181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świadczenie rodzicielskie,</w:t>
      </w:r>
    </w:p>
    <w:p w:rsidRPr="00B13F27" w:rsidR="000C5D24" w:rsidP="000C5D24" w:rsidRDefault="000C5D24" w14:paraId="370BE4BC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zasiłek macierzyński, o którym mowa w przepisach o ubezpieczeniu społecznym rolników,</w:t>
      </w:r>
    </w:p>
    <w:p w:rsidRPr="00B13F27" w:rsidR="000C5D24" w:rsidP="1A26B965" w:rsidRDefault="000C5D24" w14:paraId="5E52D617" w14:textId="7BC24B7F">
      <w:pPr>
        <w:pStyle w:val="Akapitzlist"/>
        <w:numPr>
          <w:ilvl w:val="0"/>
          <w:numId w:val="20"/>
        </w:numPr>
        <w:shd w:val="clear" w:color="auto" w:fill="FFFFFF" w:themeFill="background1"/>
        <w:ind w:left="993" w:hanging="284"/>
        <w:jc w:val="both"/>
        <w:rPr>
          <w:rFonts w:ascii="Calibri" w:hAnsi="Calibri" w:eastAsia="Calibri" w:cs="Tahoma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należności ze stosunku pracy lub z tytułu stypendium osób fizycznych mających miejsce zamieszkania na terytorium Rzeczypospolitej Polskiej, przebywających czasowo za granicą - </w:t>
      </w:r>
      <w:r>
        <w:br/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w wysokości odpowiadającej równowartości diet z tytułu podróży służbowej poza granicami kraju ustalonych dla pracowników zatrudnionych w państwowych lub samorządowych jednostkach sfery budż</w:t>
      </w:r>
      <w:r w:rsidRPr="1A26B965" w:rsidR="0D6AF946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e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towej na podstawie </w:t>
      </w:r>
      <w:hyperlink w:anchor="/document/16789274?cm=DOCUMENT" r:id="Rd75f97f63af14ece">
        <w:r w:rsidRPr="1A26B965" w:rsidR="000C5D24">
          <w:rPr>
            <w:rStyle w:val="Internetlink"/>
            <w:rFonts w:ascii="Calibri" w:hAnsi="Calibri" w:cs="Calibri" w:asciiTheme="minorAscii" w:hAnsiTheme="minorAscii" w:cstheme="minorAscii"/>
            <w:color w:val="auto"/>
            <w:sz w:val="20"/>
            <w:szCs w:val="20"/>
          </w:rPr>
          <w:t>ustawy</w:t>
        </w:r>
      </w:hyperlink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z dnia 26 czerwca 1974 r. - Kodeks pracy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(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t.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j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. </w:t>
      </w:r>
      <w:r w:rsidRPr="1A26B965" w:rsidR="5FF03F16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Dz. U. z 2023 r., poz. 1465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)</w:t>
      </w:r>
    </w:p>
    <w:p w:rsidRPr="00B13F27" w:rsidR="000C5D24" w:rsidP="000C5D24" w:rsidRDefault="000C5D24" w14:paraId="2AEC095F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należności pieniężne otrzymywane z tytułu wynajmu pokoi gościnnych w budynkach mieszkalnych położonych na terenach wiejskich w gospodarstwie rolnym osobom przebywającym na wypoczynku oraz uzyskane z tytułu wyżywienia tych osób,</w:t>
      </w:r>
    </w:p>
    <w:p w:rsidRPr="00B13F27" w:rsidR="000C5D24" w:rsidP="000C5D24" w:rsidRDefault="000C5D24" w14:paraId="3C305342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świadczenia określone w przepisach o wykonywaniu mandatu posła i senatora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,</w:t>
      </w:r>
    </w:p>
    <w:p w:rsidRPr="00B13F27" w:rsidR="000C5D24" w:rsidP="000C5D24" w:rsidRDefault="000C5D24" w14:paraId="24F6EB56" w14:textId="6DD78633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dochody uzyskiwane za granicą Rzeczypospolitej Polskiej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, pomniejszone odpowiednio o zapłacon</w:t>
      </w:r>
      <w:r w:rsidRPr="1A26B965" w:rsidR="00144FF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y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za granicą podatek dochodowy oraz składki na obowiązkowe ubezpieczenie społeczne i obowiązkowe ubezpieczenie zdrowotne,</w:t>
      </w:r>
    </w:p>
    <w:p w:rsidRPr="00B13F27" w:rsidR="000C5D24" w:rsidP="000C5D24" w:rsidRDefault="000C5D24" w14:paraId="2FAF0C59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renty określone w przepisach o wspieraniu rozwoju obszarów wiejskich ze środków pochodzących z Sekcji Gwarancji Europejskiego Funduszu Orientacji i Gwarancji Rolnej oraz w przepisach o wspieraniu rozwoju obszarów wiejskich z udziałem środków Europejskiego Funduszu Rolnego na rzecz Rozwoju Obszarów Wiejskich,</w:t>
      </w:r>
    </w:p>
    <w:p w:rsidRPr="00B13F27" w:rsidR="000C5D24" w:rsidP="000C5D24" w:rsidRDefault="000C5D24" w14:paraId="69797E75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dochód z obrotu papierami wartościowymi (PIT 38),</w:t>
      </w:r>
    </w:p>
    <w:p w:rsidRPr="00B13F27" w:rsidR="000C5D24" w:rsidP="000C5D24" w:rsidRDefault="000C5D24" w14:paraId="74F53D52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renty określone w przepisach o zaopatrzeniu inwalidów wojennych i wojskowych oraz ich rodzin,</w:t>
      </w:r>
    </w:p>
    <w:p w:rsidRPr="00B13F27" w:rsidR="000C5D24" w:rsidP="000C5D24" w:rsidRDefault="000C5D24" w14:paraId="7F3E656D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renty wypłacone osobom represjonowanym i członkom ich rodzin, przyznane na zasadach określonych w przepisach o zaopatrzeniu inwalidów wojennych i wojskowych oraz ich rodzin,</w:t>
      </w:r>
    </w:p>
    <w:p w:rsidRPr="00B13F27" w:rsidR="000C5D24" w:rsidP="000C5D24" w:rsidRDefault="000C5D24" w14:paraId="17C60382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świadczenia pieniężne oraz ryczałt energetyczny określone w przepisach o świadczeniu pieniężnym i uprawnieniach przysługujących żołnierzom zastępczej służby wojskowej przymusowo zatrudnianym w kopalniach węgla, kamieniołomach, zakładach rud uranu i batalionach budowlanych,</w:t>
      </w:r>
    </w:p>
    <w:p w:rsidRPr="00B13F27" w:rsidR="000C5D24" w:rsidP="000C5D24" w:rsidRDefault="000C5D24" w14:paraId="22813DE9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dodatek kombatancki, ryczałt energetyczny i dodatek kompensacyjny określone w przepisach o kombatantach oraz niektórych osobach będących ofiarami represji wojennych i okresu powojennego,</w:t>
      </w:r>
    </w:p>
    <w:p w:rsidRPr="00B13F27" w:rsidR="000C5D24" w:rsidP="000C5D24" w:rsidRDefault="000C5D24" w14:paraId="5330E983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świadczenia pieniężne określone w przepisach o świadczeniu pieniężnym przysługującym osobom deportowanym do pracy przymusowej oraz osadzonym w obozach pracy przez III Rzeszę Niemiecką lub Związek Socjalistycznych Republik Radzieckich,</w:t>
      </w:r>
    </w:p>
    <w:p w:rsidRPr="00B13F27" w:rsidR="000C5D24" w:rsidP="000C5D24" w:rsidRDefault="000C5D24" w14:paraId="167B2693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emerytury i renty otrzymywane przez osoby, które utraciły wzrok w wyniku działań wojennych w latach 1939-1945 lub eksplozji pozostałych po tej wojnie niewypałów i niewybuchów,</w:t>
      </w:r>
    </w:p>
    <w:p w:rsidRPr="00B13F27" w:rsidR="000C5D24" w:rsidP="000C5D24" w:rsidRDefault="000C5D24" w14:paraId="0D83A308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renty inwalidzkie z tytułu inwalidztwa wojennego, kwoty zaopatrzenia otrzymywane przez ofiary wojny oraz członków ich rodzin, renty wypadkowe osób, których inwalidztwo powstało w związku z przymusowym pobytem na robotach w III Rzeszy Niemieckiej w latach 1939–1945, otrzymywane z zagranicy,</w:t>
      </w:r>
    </w:p>
    <w:p w:rsidRPr="00B13F27" w:rsidR="000C5D24" w:rsidP="000C5D24" w:rsidRDefault="000C5D24" w14:paraId="0E122447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środki bezzwrotnej pomocy zagranicznej otrzymywane od rządów państw obcych, organizacji międzynarodowych lub międzynarodowych instytucji finansowych, pochodzące ze środków bezzwrotnej pomocy przyznanych na podstawie jednostronnej deklaracji lub umów zawartych z 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służyć ma ta pomoc,</w:t>
      </w:r>
    </w:p>
    <w:p w:rsidRPr="00B13F27" w:rsidR="000C5D24" w:rsidP="000C5D24" w:rsidRDefault="000C5D24" w14:paraId="69067E60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należności pieniężne wypłacone policjantom, żołnierzom, celnikom i pracownikom jednostek wojskowych i jednostek policyjnych użytych poza granicami państwa w celu udziału w konflikcie zbrojnym lub wzmocnienia sił państwa albo państw sojuszniczych, misji pokojowej, akcji zapobieżenia aktom terroryzmu lub ich skutkom, a także należności pieniężne wypłacone żołnierzom, policjantom, celnikom i pracownikom pełniącym funkcje obserwatorów w misjach pokojowych organizacji międzynarodowych i sił wielonarodowych,</w:t>
      </w:r>
    </w:p>
    <w:p w:rsidRPr="00B13F27" w:rsidR="000C5D24" w:rsidP="000C5D24" w:rsidRDefault="000C5D24" w14:paraId="392B06C3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należności pieniężne ze stosunku służbowego otrzymywane w czasie służby kandydackiej przez funkcjonariuszy Policji, Państwowej Straży Pożarnej, Straży Granicznej i Biura Ochrony Rządu, obliczone za okres, w którym osoby te uzyskały dochód,</w:t>
      </w:r>
    </w:p>
    <w:p w:rsidRPr="00B13F27" w:rsidR="000C5D24" w:rsidP="000C5D24" w:rsidRDefault="000C5D24" w14:paraId="42AF312B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dochody członków rolniczych spółdzielni produkcyjnych z tytułu członkostwa w rolniczej spółdzielni produkcyjnej, pomniejszone o składki na ubezpieczenie społeczne,</w:t>
      </w:r>
    </w:p>
    <w:p w:rsidRPr="00B13F27" w:rsidR="000C5D24" w:rsidP="000C5D24" w:rsidRDefault="000C5D24" w14:paraId="55FE1FA7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kwoty diet nieopodatkowane podatkiem dochodowym od osób fizycznych, otrzymywane przez osoby wykonujące czynności związane z pełnieniem obowiązków społecznych i obywatelskich,</w:t>
      </w:r>
    </w:p>
    <w:p w:rsidRPr="00B13F27" w:rsidR="000C5D24" w:rsidP="1A26B965" w:rsidRDefault="000C5D24" w14:paraId="11112C20" w14:textId="0FE73AC3">
      <w:pPr>
        <w:pStyle w:val="Akapitzlist"/>
        <w:numPr>
          <w:ilvl w:val="0"/>
          <w:numId w:val="20"/>
        </w:numPr>
        <w:shd w:val="clear" w:color="auto" w:fill="FFFFFF" w:themeFill="background1"/>
        <w:ind w:left="993" w:hanging="284"/>
        <w:jc w:val="both"/>
        <w:rPr>
          <w:rFonts w:ascii="Calibri" w:hAnsi="Calibri" w:eastAsia="Calibri" w:cs="Tahoma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dodatki za tajne nauczanie określone w ustawie z dnia 26 stycznia 1982 r. – Karta Nauczyciela </w:t>
      </w:r>
      <w:r>
        <w:br/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(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t.j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.</w:t>
      </w:r>
      <w:r w:rsidRPr="1A26B965" w:rsidR="39604D6D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Dz. U. z 2023 r., poz. 984 ze zm.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),</w:t>
      </w:r>
    </w:p>
    <w:p w:rsidRPr="00B13F27" w:rsidR="000C5D24" w:rsidP="000C5D24" w:rsidRDefault="000C5D24" w14:paraId="5AD69506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dochody uzyskane z działalności gospodarczej prowadzonej na podstawie zezwolenia na terenie specjalnej strefy ekonomicznej określonej w przepisach o specjalnych strefach ekonomicznych,</w:t>
      </w:r>
    </w:p>
    <w:p w:rsidRPr="00B13F27" w:rsidR="000C5D24" w:rsidP="000C5D24" w:rsidRDefault="000C5D24" w14:paraId="751FF95E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ekwiwalenty pieniężne za deputaty węglowe określone w przepisach o komercjalizacji, restrukturyzacji i prywatyzacji przedsiębiorstwa państwowego „Polskie Koleje Państwowe”,</w:t>
      </w:r>
    </w:p>
    <w:p w:rsidRPr="00B13F27" w:rsidR="000C5D24" w:rsidP="000C5D24" w:rsidRDefault="000C5D24" w14:paraId="66AE8475" w14:textId="77777777">
      <w:pPr>
        <w:pStyle w:val="Akapitzlist"/>
        <w:numPr>
          <w:ilvl w:val="0"/>
          <w:numId w:val="20"/>
        </w:numPr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ekwiwalenty z tytułu prawa do bezpłatnego węgla określone w przepisach o restrukturyzacji górnictwa węgla kamiennego w latach 2003-2006.</w:t>
      </w:r>
    </w:p>
    <w:p w:rsidRPr="00B13F27" w:rsidR="000C5D24" w:rsidP="000C5D24" w:rsidRDefault="000C5D24" w14:paraId="501C5957" w14:textId="77777777">
      <w:pPr>
        <w:pStyle w:val="Akapitzlist"/>
        <w:shd w:val="clear" w:color="auto" w:fill="FFFFFF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:rsidRPr="00B13F27" w:rsidR="000C5D24" w:rsidP="1A26B965" w:rsidRDefault="000C5D24" w14:paraId="6A9C3A77" w14:textId="34463A21">
      <w:pPr>
        <w:pStyle w:val="Textbody"/>
        <w:spacing w:line="276" w:lineRule="auto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 xml:space="preserve">W przypadku wystąpienia w rodzinie 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studenta utrat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y dochodu albo uzyskania dochodu</w:t>
      </w:r>
      <w:r w:rsidRPr="1A26B965" w:rsidR="00144FF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,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wysokość dochodu na osobę w rodzinie studenta ubiegającego się o stypendium socjalne ustala się </w:t>
      </w:r>
      <w:r w:rsidRPr="1A26B965" w:rsidR="000C5D24">
        <w:rPr>
          <w:rStyle w:val="Internetlink"/>
          <w:rFonts w:ascii="Calibri" w:hAnsi="Calibri" w:cs="Calibri" w:asciiTheme="minorAscii" w:hAnsiTheme="minorAscii" w:cstheme="minorAscii"/>
          <w:color w:val="auto"/>
          <w:sz w:val="20"/>
          <w:szCs w:val="20"/>
          <w:u w:val="none"/>
        </w:rPr>
        <w:t>na podstawie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wniosku o ponowne przeliczenie dochodu (zał. nr 10).</w:t>
      </w:r>
    </w:p>
    <w:p w:rsidRPr="00B13F27" w:rsidR="000C5D24" w:rsidP="000C5D24" w:rsidRDefault="000C5D24" w14:paraId="067BDB99" w14:textId="77777777">
      <w:pPr>
        <w:pStyle w:val="Akapitzlist"/>
        <w:ind w:left="350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:rsidRPr="00B13F27" w:rsidR="000C5D24" w:rsidP="5AB8F680" w:rsidRDefault="000C5D24" w14:paraId="58A4336E" w14:textId="1D85FF70">
      <w:pPr>
        <w:pStyle w:val="Standard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u w:val="single"/>
          <w:lang w:eastAsia="pl-PL"/>
        </w:rPr>
        <w:t>Utrata dochodu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 oznacza 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wyłącznie 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dochody wskazane w art. 3 pkt 23 ustawy o świadczeniach rodzinnych </w:t>
      </w:r>
      <w:r>
        <w:br/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(</w:t>
      </w:r>
      <w:r w:rsidRPr="1A26B965" w:rsidR="2B625110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Dz. U. z 2023 r., poz. 390 ze zm.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) tj. związane z:</w:t>
      </w:r>
    </w:p>
    <w:p w:rsidRPr="00B13F27" w:rsidR="000C5D24" w:rsidP="00372240" w:rsidRDefault="000C5D24" w14:paraId="2E55DB4E" w14:textId="77777777">
      <w:pPr>
        <w:pStyle w:val="Akapitzlist1"/>
        <w:numPr>
          <w:ilvl w:val="0"/>
          <w:numId w:val="30"/>
        </w:numPr>
        <w:spacing w:line="240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</w:rPr>
      </w:pPr>
      <w:r w:rsidRPr="00B13F27">
        <w:rPr>
          <w:rFonts w:asciiTheme="minorHAnsi" w:hAnsiTheme="minorHAnsi" w:cstheme="minorHAnsi"/>
          <w:color w:val="auto"/>
          <w:sz w:val="20"/>
        </w:rPr>
        <w:t>uzyskaniem prawa do urlopu wychowawczego,</w:t>
      </w:r>
    </w:p>
    <w:p w:rsidRPr="00B13F27" w:rsidR="00372240" w:rsidP="00372240" w:rsidRDefault="000C5D24" w14:paraId="066A8761" w14:textId="77777777">
      <w:pPr>
        <w:pStyle w:val="Akapitzlist1"/>
        <w:numPr>
          <w:ilvl w:val="0"/>
          <w:numId w:val="30"/>
        </w:numPr>
        <w:spacing w:line="240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</w:rPr>
      </w:pPr>
      <w:r w:rsidRPr="00B13F27">
        <w:rPr>
          <w:rFonts w:asciiTheme="minorHAnsi" w:hAnsiTheme="minorHAnsi" w:cstheme="minorHAnsi"/>
          <w:color w:val="auto"/>
          <w:sz w:val="20"/>
        </w:rPr>
        <w:t>utratą zasiłku lub stypendium dla bezrobotnych,</w:t>
      </w:r>
    </w:p>
    <w:p w:rsidRPr="00B13F27" w:rsidR="000C5D24" w:rsidP="00EB3180" w:rsidRDefault="000C5D24" w14:paraId="3BB4FD05" w14:textId="767F4770">
      <w:pPr>
        <w:pStyle w:val="Akapitzlist"/>
        <w:numPr>
          <w:ilvl w:val="0"/>
          <w:numId w:val="30"/>
        </w:numPr>
        <w:ind w:left="567" w:hanging="283"/>
        <w:rPr>
          <w:rFonts w:asciiTheme="minorHAnsi" w:hAnsiTheme="minorHAnsi" w:cstheme="minorHAnsi"/>
          <w:color w:val="auto"/>
          <w:sz w:val="20"/>
          <w:szCs w:val="20"/>
          <w:lang w:eastAsia="hi-IN" w:bidi="hi-IN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utratą zatrudnienia lub innej pracy zarobkowej</w:t>
      </w:r>
      <w:r w:rsidRPr="00B13F27" w:rsidR="000357C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B13F27" w:rsidR="000357C4">
        <w:rPr>
          <w:rFonts w:asciiTheme="minorHAnsi" w:hAnsiTheme="minorHAnsi" w:cstheme="minorHAnsi"/>
          <w:color w:val="auto"/>
          <w:sz w:val="20"/>
          <w:szCs w:val="20"/>
          <w:lang w:eastAsia="hi-IN" w:bidi="hi-IN"/>
        </w:rPr>
        <w:t xml:space="preserve">, </w:t>
      </w:r>
    </w:p>
    <w:p w:rsidRPr="00B13F27" w:rsidR="00372240" w:rsidP="00372240" w:rsidRDefault="000C5D24" w14:paraId="33E92B92" w14:textId="7F447CD9">
      <w:pPr>
        <w:pStyle w:val="Akapitzlist1"/>
        <w:numPr>
          <w:ilvl w:val="0"/>
          <w:numId w:val="30"/>
        </w:numPr>
        <w:spacing w:line="240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</w:rPr>
      </w:pPr>
      <w:r w:rsidRPr="00B13F27">
        <w:rPr>
          <w:rFonts w:asciiTheme="minorHAnsi" w:hAnsiTheme="minorHAnsi" w:cstheme="minorHAnsi"/>
          <w:color w:val="auto"/>
          <w:sz w:val="20"/>
        </w:rPr>
        <w:t xml:space="preserve">utratą zasiłku przedemerytalnego lub świadczenia przedemerytalnego, nauczycielskiego świadczenia kompensacyjnego, a także emerytury lub renty, renty rodzinnej, renty socjalnej lub rodzicielskiego świadczenia uzupełniającego, o którym mowa w </w:t>
      </w:r>
      <w:hyperlink w:history="1" w:anchor="/document/18817770?cm=DOCUMENT" r:id="rId14">
        <w:r w:rsidRPr="00B13F27">
          <w:rPr>
            <w:rStyle w:val="Internetlink"/>
            <w:rFonts w:asciiTheme="minorHAnsi" w:hAnsiTheme="minorHAnsi" w:cstheme="minorHAnsi"/>
            <w:color w:val="auto"/>
            <w:sz w:val="20"/>
          </w:rPr>
          <w:t>ustawie</w:t>
        </w:r>
      </w:hyperlink>
      <w:r w:rsidRPr="00B13F27">
        <w:rPr>
          <w:rFonts w:asciiTheme="minorHAnsi" w:hAnsiTheme="minorHAnsi" w:cstheme="minorHAnsi"/>
          <w:color w:val="auto"/>
          <w:sz w:val="20"/>
        </w:rPr>
        <w:t xml:space="preserve"> z dnia 31 stycznia 2019 r. o rodzicielskim świadczeniu uzupełniającym (</w:t>
      </w:r>
      <w:r w:rsidRPr="00B13F27" w:rsidR="00786118">
        <w:rPr>
          <w:rFonts w:asciiTheme="minorHAnsi" w:hAnsiTheme="minorHAnsi" w:cstheme="minorHAnsi"/>
          <w:color w:val="auto"/>
          <w:sz w:val="20"/>
        </w:rPr>
        <w:t>Dz.U. z 2022 r., poz. 1051</w:t>
      </w:r>
      <w:r w:rsidRPr="00B13F27">
        <w:rPr>
          <w:rFonts w:asciiTheme="minorHAnsi" w:hAnsiTheme="minorHAnsi" w:cstheme="minorHAnsi"/>
          <w:color w:val="auto"/>
          <w:sz w:val="20"/>
        </w:rPr>
        <w:t>),</w:t>
      </w:r>
    </w:p>
    <w:p w:rsidRPr="00B13F27" w:rsidR="00372240" w:rsidP="1A26B965" w:rsidRDefault="000C5D24" w14:paraId="6256BEF3" w14:textId="61B419B1">
      <w:pPr>
        <w:pStyle w:val="Akapitzlist"/>
        <w:numPr>
          <w:ilvl w:val="0"/>
          <w:numId w:val="30"/>
        </w:numPr>
        <w:ind w:left="567" w:hanging="283"/>
        <w:rPr>
          <w:rFonts w:ascii="Calibri" w:hAnsi="Calibri" w:eastAsia="Calibri" w:cs="Tahoma"/>
          <w:color w:val="auto"/>
          <w:sz w:val="20"/>
          <w:szCs w:val="20"/>
          <w:lang w:eastAsia="hi-IN" w:bidi="hi-IN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wykreśleniem z rejestru pozarolniczej działalności gospodarczej lub zawieszeniem jej wykonywania w rozumieniu art. 16b ustawy z dnia 20 grudnia 1990 r. o ubezpieczeniu społecznym rolników (</w:t>
      </w:r>
      <w:r w:rsidRPr="1A26B965" w:rsidR="48D576B8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Dz. U. z 2023 r., poz. 208 ze zm.)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lub art. 36aa ust. 1 ustawy z dnia 13 października 1998 r. o systemie ubezpieczeń społecznych </w:t>
      </w:r>
      <w:r w:rsidRPr="1A26B965" w:rsidR="4959A8DA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(Dz. U. z 2023 r., poz. 1230 ze zm.</w:t>
      </w:r>
      <w:r w:rsidRPr="1A26B965" w:rsidR="0F06B1F8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)</w:t>
      </w:r>
      <w:r w:rsidRPr="1A26B965" w:rsidR="000357C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hi-IN" w:bidi="hi-IN"/>
        </w:rPr>
        <w:t xml:space="preserve"> </w:t>
      </w:r>
    </w:p>
    <w:p w:rsidRPr="00B13F27" w:rsidR="00372240" w:rsidP="00372240" w:rsidRDefault="000C5D24" w14:paraId="75AEC8CA" w14:textId="77777777">
      <w:pPr>
        <w:pStyle w:val="Akapitzlist1"/>
        <w:numPr>
          <w:ilvl w:val="0"/>
          <w:numId w:val="30"/>
        </w:numPr>
        <w:spacing w:line="240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utratą zasiłku chorobowego, świadczenia rehabilitacyjnego lub zasiłku macierzyńskiego, przysługujących po utracie zatrudnienia lub innej pracy zarobkowej,</w:t>
      </w:r>
    </w:p>
    <w:p w:rsidRPr="00B13F27" w:rsidR="00372240" w:rsidP="00372240" w:rsidRDefault="000C5D24" w14:paraId="22DF9CFE" w14:textId="77777777">
      <w:pPr>
        <w:pStyle w:val="Akapitzlist1"/>
        <w:numPr>
          <w:ilvl w:val="0"/>
          <w:numId w:val="30"/>
        </w:numPr>
        <w:spacing w:line="240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utratą zasądzonych świadczeń alimentacyjnych w związku ze śmiercią osoby zobowiązanej do tych świadczeń lub utratą świadczeń pieniężnych wypłacanych w przypadku bezskuteczności egzekucji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alimentów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w związku ze śmiercią osoby zobowiązanej do świadczeń alimentacyjnych;</w:t>
      </w:r>
    </w:p>
    <w:p w:rsidRPr="00B13F27" w:rsidR="00372240" w:rsidP="00372240" w:rsidRDefault="000C5D24" w14:paraId="4C11EA4E" w14:textId="77777777">
      <w:pPr>
        <w:pStyle w:val="Akapitzlist1"/>
        <w:numPr>
          <w:ilvl w:val="0"/>
          <w:numId w:val="30"/>
        </w:numPr>
        <w:spacing w:line="240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utratą świadczenia rodzicielskiego,</w:t>
      </w:r>
    </w:p>
    <w:p w:rsidRPr="00B13F27" w:rsidR="00372240" w:rsidP="00372240" w:rsidRDefault="000C5D24" w14:paraId="5B59663D" w14:textId="77777777">
      <w:pPr>
        <w:pStyle w:val="Akapitzlist1"/>
        <w:numPr>
          <w:ilvl w:val="0"/>
          <w:numId w:val="30"/>
        </w:numPr>
        <w:spacing w:line="240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utratą zasiłku macierzyńskiego, o którym mowa w przepisach o ubezpieczeniu społecznym rolników,</w:t>
      </w:r>
    </w:p>
    <w:p w:rsidRPr="00B13F27" w:rsidR="000C5D24" w:rsidP="1A26B965" w:rsidRDefault="000C5D24" w14:paraId="3787E344" w14:textId="7B4D5412">
      <w:pPr>
        <w:pStyle w:val="Akapitzlist1"/>
        <w:numPr>
          <w:ilvl w:val="0"/>
          <w:numId w:val="30"/>
        </w:numPr>
        <w:spacing w:line="240" w:lineRule="auto"/>
        <w:ind w:left="567" w:hanging="283"/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utratą stypendium doktoranckiego</w:t>
      </w:r>
      <w:r w:rsidRPr="1A26B965" w:rsidR="2A611D2A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,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którego podstawą przyznania jest: </w:t>
      </w:r>
      <w:r w:rsidRPr="1A26B965" w:rsidR="000C5D24">
        <w:rPr>
          <w:rStyle w:val="Internetlink"/>
          <w:rFonts w:ascii="Calibri" w:hAnsi="Calibri" w:cs="Calibri" w:asciiTheme="minorAscii" w:hAnsiTheme="minorAscii" w:cstheme="minorAscii"/>
          <w:color w:val="auto"/>
          <w:sz w:val="20"/>
          <w:szCs w:val="20"/>
        </w:rPr>
        <w:t>art. 285 ustawy z dnia 3 lipca 2018 r. Przepisy wprowadzające ustawę – Prawo o szkolnictwie wyższy i nauce (Dz. U. z 2018 r., poz. 1669 ze zm.) oraz w art.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209 ust. 1 i 7 ustawy z dnia 20 lipca 2018 r.  Prawo o szkolnictwie wyższym i nauce.</w:t>
      </w:r>
    </w:p>
    <w:p w:rsidRPr="00B13F27" w:rsidR="000C5D24" w:rsidP="000C5D24" w:rsidRDefault="000C5D24" w14:paraId="73267DCB" w14:textId="77777777">
      <w:pPr>
        <w:pStyle w:val="Akapitzlist1"/>
        <w:spacing w:line="240" w:lineRule="auto"/>
        <w:ind w:left="709"/>
        <w:jc w:val="both"/>
        <w:rPr>
          <w:rFonts w:asciiTheme="minorHAnsi" w:hAnsiTheme="minorHAnsi" w:cstheme="minorHAnsi"/>
          <w:color w:val="auto"/>
          <w:sz w:val="20"/>
        </w:rPr>
      </w:pPr>
    </w:p>
    <w:p w:rsidRPr="00B13F27" w:rsidR="000C5D24" w:rsidP="5AB8F680" w:rsidRDefault="000C5D24" w14:paraId="26B4C9A3" w14:textId="25FBD43B">
      <w:pPr>
        <w:pStyle w:val="Standard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u w:val="single"/>
          <w:lang w:eastAsia="pl-PL"/>
        </w:rPr>
        <w:t>Uzyskanie dochodu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 oznacza 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>wyłącznie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 xml:space="preserve"> dochody wskazane w art. 3 ust. 24 ustawy o świadczeniach rodzinnych </w:t>
      </w:r>
      <w:r w:rsidRPr="1A26B965" w:rsidR="000C5D24">
        <w:rPr>
          <w:rFonts w:ascii="Calibri" w:hAnsi="Calibri" w:cs="Calibri" w:asciiTheme="minorAscii" w:hAnsiTheme="minorAscii" w:cstheme="minorAscii"/>
          <w:b w:val="0"/>
          <w:bCs w:val="0"/>
          <w:color w:val="auto"/>
          <w:sz w:val="20"/>
          <w:szCs w:val="20"/>
          <w:lang w:eastAsia="pl-PL"/>
        </w:rPr>
        <w:t>(</w:t>
      </w:r>
      <w:r w:rsidRPr="1A26B965" w:rsidR="000C5D24">
        <w:rPr>
          <w:rFonts w:ascii="Calibri" w:hAnsi="Calibri" w:cs="Calibri" w:asciiTheme="minorAscii" w:hAnsiTheme="minorAscii" w:cstheme="minorAscii"/>
          <w:b w:val="0"/>
          <w:bCs w:val="0"/>
          <w:color w:val="auto"/>
          <w:sz w:val="20"/>
          <w:szCs w:val="20"/>
          <w:lang w:eastAsia="pl-PL"/>
        </w:rPr>
        <w:t>t.j</w:t>
      </w:r>
      <w:r w:rsidRPr="1A26B965" w:rsidR="000C5D24">
        <w:rPr>
          <w:rFonts w:ascii="Calibri" w:hAnsi="Calibri" w:cs="Calibri" w:asciiTheme="minorAscii" w:hAnsiTheme="minorAscii" w:cstheme="minorAscii"/>
          <w:b w:val="0"/>
          <w:bCs w:val="0"/>
          <w:color w:val="auto"/>
          <w:sz w:val="20"/>
          <w:szCs w:val="20"/>
          <w:lang w:eastAsia="pl-PL"/>
        </w:rPr>
        <w:t xml:space="preserve">. </w:t>
      </w:r>
      <w:r w:rsidRPr="1A26B965" w:rsidR="4FF8D40E">
        <w:rPr>
          <w:rFonts w:ascii="Calibri" w:hAnsi="Calibri" w:cs="Calibri" w:asciiTheme="minorAscii" w:hAnsiTheme="minorAscii" w:cstheme="minorAscii"/>
          <w:b w:val="0"/>
          <w:bCs w:val="0"/>
          <w:color w:val="auto"/>
          <w:sz w:val="20"/>
          <w:szCs w:val="20"/>
          <w:lang w:eastAsia="pl-PL"/>
        </w:rPr>
        <w:t>Dz. U. z 2023 r., poz. 390 ze zm.</w:t>
      </w:r>
      <w:r w:rsidRPr="1A26B965" w:rsidR="000C5D24">
        <w:rPr>
          <w:rFonts w:ascii="Calibri" w:hAnsi="Calibri" w:cs="Calibri" w:asciiTheme="minorAscii" w:hAnsiTheme="minorAscii" w:cstheme="minorAscii"/>
          <w:b w:val="0"/>
          <w:bCs w:val="0"/>
          <w:color w:val="auto"/>
          <w:sz w:val="20"/>
          <w:szCs w:val="20"/>
          <w:lang w:eastAsia="pl-PL"/>
        </w:rPr>
        <w:t>)</w:t>
      </w: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  <w:lang w:eastAsia="pl-PL"/>
        </w:rPr>
        <w:t xml:space="preserve">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  <w:lang w:eastAsia="pl-PL"/>
        </w:rPr>
        <w:t>związane z:</w:t>
      </w:r>
    </w:p>
    <w:p w:rsidRPr="00B13F27" w:rsidR="000C5D24" w:rsidP="00EE41DB" w:rsidRDefault="000C5D24" w14:paraId="00A8337B" w14:textId="01D045D5">
      <w:pPr>
        <w:pStyle w:val="Standard"/>
        <w:numPr>
          <w:ilvl w:val="0"/>
          <w:numId w:val="32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zakończeniem urlopu wychowawczego,</w:t>
      </w:r>
    </w:p>
    <w:p w:rsidRPr="00B13F27" w:rsidR="000C5D24" w:rsidP="00EE41DB" w:rsidRDefault="000C5D24" w14:paraId="4FCBB12D" w14:textId="15567C7D">
      <w:pPr>
        <w:pStyle w:val="Standard"/>
        <w:numPr>
          <w:ilvl w:val="0"/>
          <w:numId w:val="32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uzyskaniem zasiłku lub stypendium dla bezrobotnych,</w:t>
      </w:r>
    </w:p>
    <w:p w:rsidRPr="00B13F27" w:rsidR="000C5D24" w:rsidP="00EE41DB" w:rsidRDefault="000C5D24" w14:paraId="5458EDBB" w14:textId="31F28D05">
      <w:pPr>
        <w:pStyle w:val="Standard"/>
        <w:numPr>
          <w:ilvl w:val="0"/>
          <w:numId w:val="32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uzyskaniem zatrudnienia lub innej pracy zarobkowej,</w:t>
      </w:r>
    </w:p>
    <w:p w:rsidRPr="00B13F27" w:rsidR="000C5D24" w:rsidP="00EE41DB" w:rsidRDefault="000C5D24" w14:paraId="72A4F0D4" w14:textId="4118C8D7">
      <w:pPr>
        <w:pStyle w:val="Standard"/>
        <w:numPr>
          <w:ilvl w:val="0"/>
          <w:numId w:val="32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uzyskaniem zasiłku przedemerytalnego lub świadczenia przedemerytalnego, nauczycielskiego świadczenia kompensacyjnego, a także emerytury lub renty, renty rodzinnej, renty socjalnej lub rodzicielskiego świadczenia uzupełniającego, o którym mowa w ustawie z dnia 31 stycznia 2019 r. </w:t>
      </w: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br/>
      </w: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o rodzicielskim świadczeniu uzupełniającym,</w:t>
      </w:r>
    </w:p>
    <w:p w:rsidRPr="00B13F27" w:rsidR="000C5D24" w:rsidP="00EE41DB" w:rsidRDefault="000C5D24" w14:paraId="3CB7E350" w14:textId="6EDDB9A4">
      <w:pPr>
        <w:pStyle w:val="Standard"/>
        <w:numPr>
          <w:ilvl w:val="0"/>
          <w:numId w:val="32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rozpoczęciem pozarolniczej działalności gospodarczej lub wznowieniem jej wykonywania po okresie zawieszenia w rozumieniu art. 16b ustawy z dnia 20 grudnia 1990 r. o ubezpieczeniu społecznym rolników lub art. 36aa ust. 1 ustawy z dnia 13 października 1998 r. o systemie ubezpieczeń społecznych,</w:t>
      </w: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br/>
      </w: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6) uzyskaniem zasiłku chorobowego, świadczenia rehabilitacyjnego lub zasiłku macierzyńskiego, przysługujących po utracie zatrudnienia lub innej pracy zarobkowej,</w:t>
      </w:r>
    </w:p>
    <w:p w:rsidRPr="00B13F27" w:rsidR="000C5D24" w:rsidP="00EE41DB" w:rsidRDefault="000C5D24" w14:paraId="759835EC" w14:textId="4B27CB1A">
      <w:pPr>
        <w:pStyle w:val="Standard"/>
        <w:numPr>
          <w:ilvl w:val="0"/>
          <w:numId w:val="32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uzyskaniem świadczenia rodzicielskiego,</w:t>
      </w:r>
    </w:p>
    <w:p w:rsidRPr="00B13F27" w:rsidR="000C5D24" w:rsidP="00EE41DB" w:rsidRDefault="000C5D24" w14:paraId="6B5991F9" w14:textId="50A78E78">
      <w:pPr>
        <w:pStyle w:val="Standard"/>
        <w:numPr>
          <w:ilvl w:val="0"/>
          <w:numId w:val="32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uzyskaniem zasiłku macierzyńskiego, o którym mowa w przepisach o ubezpieczeniu społecznym rolników,</w:t>
      </w:r>
    </w:p>
    <w:p w:rsidRPr="00B13F27" w:rsidR="000C5D24" w:rsidP="00EE41DB" w:rsidRDefault="000C5D24" w14:paraId="6641E561" w14:textId="47116C42">
      <w:pPr>
        <w:pStyle w:val="Standard"/>
        <w:numPr>
          <w:ilvl w:val="0"/>
          <w:numId w:val="32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uzyskaniem stypendium doktoranckiego, którego podstawą przyznania jest: </w:t>
      </w:r>
      <w:r w:rsidRPr="00B13F27">
        <w:rPr>
          <w:rStyle w:val="Internetlink"/>
          <w:rFonts w:asciiTheme="minorHAnsi" w:hAnsiTheme="minorHAnsi" w:cstheme="minorHAnsi"/>
          <w:color w:val="auto"/>
          <w:sz w:val="20"/>
          <w:szCs w:val="20"/>
        </w:rPr>
        <w:t>art. 285 ustawy z dnia 3 lipca 2018 r. Przepisy wprowadzające ustawę – Prawo o szkolnictwie wyższy i nauce (Dz. U. z 2018 r., poz. 1669 ze zm.) oraz w art.</w:t>
      </w: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209 ust. 1 i 7 ustawy z dnia 20 lipca 2018 r.  Prawo o szkolnictwie wyższym i nauce.</w:t>
      </w:r>
    </w:p>
    <w:p w:rsidRPr="00B13F27" w:rsidR="000C5D24" w:rsidP="000C5D24" w:rsidRDefault="000C5D24" w14:paraId="0909B80C" w14:textId="77777777">
      <w:pPr>
        <w:pStyle w:val="Standard"/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:rsidRPr="00B13F27" w:rsidR="000C5D24" w:rsidP="00D03B78" w:rsidRDefault="000C5D24" w14:paraId="54E656DC" w14:textId="77777777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b w:val="1"/>
          <w:bCs w:val="1"/>
          <w:color w:val="auto"/>
          <w:sz w:val="20"/>
          <w:szCs w:val="20"/>
        </w:rPr>
        <w:t>Do wniosków, o których mowa w pkt 1, należy dołączyć dokumenty pozwalające określić sytuację materialną studenta lub studenta i członków jego rodziny:</w:t>
      </w:r>
    </w:p>
    <w:p w:rsidRPr="00B13F27" w:rsidR="000C5D24" w:rsidP="5337EC06" w:rsidRDefault="000C5D24" w14:paraId="239F2019" w14:textId="02184E1C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zaświadczenia z urzędu skarbowego albo oświadczenia członków rodziny (zał. nr 13 i 21) o dochodzie podlegającym opodatkowaniu na zasadach określonych w art. 27, 27f, 30b, 30c i 30e ustawy z dnia 26 lipca 1991 r. o podatku dochodowym od osób fizycznych, osiągniętym w roku kalendarzowym poprzedzającym rok akademicki</w:t>
      </w:r>
      <w:r w:rsidRPr="00B13F27" w:rsidR="00800118">
        <w:rPr>
          <w:rFonts w:asciiTheme="minorHAnsi" w:hAnsiTheme="minorHAnsi" w:cstheme="minorHAnsi"/>
          <w:color w:val="auto"/>
          <w:sz w:val="20"/>
          <w:szCs w:val="20"/>
        </w:rPr>
        <w:t xml:space="preserve">, oświadczenia członków rodziny studentów </w:t>
      </w:r>
      <w:r w:rsidRPr="00B13F27" w:rsidR="0071410F">
        <w:rPr>
          <w:rFonts w:asciiTheme="minorHAnsi" w:hAnsiTheme="minorHAnsi" w:cstheme="minorHAnsi"/>
          <w:color w:val="auto"/>
          <w:sz w:val="20"/>
          <w:szCs w:val="20"/>
        </w:rPr>
        <w:t xml:space="preserve">cudzoziemców </w:t>
      </w:r>
      <w:r w:rsidRPr="00B13F27" w:rsidR="00800118">
        <w:rPr>
          <w:rFonts w:asciiTheme="minorHAnsi" w:hAnsiTheme="minorHAnsi" w:cstheme="minorHAnsi"/>
          <w:color w:val="auto"/>
          <w:sz w:val="20"/>
          <w:szCs w:val="20"/>
        </w:rPr>
        <w:t>pochodzących z Ukrainy o dochodzie (zał. nr 13a)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:rsidRPr="00B13F27" w:rsidR="000C5D24" w:rsidP="00D03B78" w:rsidRDefault="000C5D24" w14:paraId="2A9F2152" w14:textId="45F6FEB0">
      <w:pPr>
        <w:pStyle w:val="Akapitzlist"/>
        <w:numPr>
          <w:ilvl w:val="0"/>
          <w:numId w:val="26"/>
        </w:numPr>
        <w:shd w:val="clear" w:color="auto" w:fill="FFFFFF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  <w:t xml:space="preserve">zaświadczenia </w:t>
      </w:r>
      <w:r w:rsidRPr="00B13F27" w:rsidR="008F4114"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  <w:t xml:space="preserve">z urzędu skarbowego </w:t>
      </w:r>
      <w:r w:rsidRPr="00B13F27">
        <w:rPr>
          <w:rFonts w:asciiTheme="minorHAnsi" w:hAnsiTheme="minorHAnsi" w:cstheme="minorHAnsi"/>
          <w:bCs/>
          <w:color w:val="auto"/>
          <w:sz w:val="20"/>
          <w:szCs w:val="20"/>
          <w:lang w:eastAsia="pl-PL"/>
        </w:rPr>
        <w:t>członków rodziny rozliczających się na podstawie przepisów o zryczałtowanym podatku dochodowym</w:t>
      </w:r>
      <w:r w:rsidRPr="00B13F27">
        <w:rPr>
          <w:rFonts w:asciiTheme="minorHAnsi" w:hAnsiTheme="minorHAnsi" w:cstheme="minorHAnsi"/>
          <w:b/>
          <w:bCs/>
          <w:color w:val="auto"/>
          <w:sz w:val="20"/>
          <w:szCs w:val="20"/>
          <w:lang w:eastAsia="pl-PL"/>
        </w:rPr>
        <w:t> </w:t>
      </w: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od niektórych przychodów osiąganych przez osoby fizyczne zawierające informacje odpowiednio o: formie opłaconego podatku, wysokości przychodu, stawce podatku, wysokości opłaconego podatku,</w:t>
      </w:r>
    </w:p>
    <w:p w:rsidRPr="00B13F27" w:rsidR="000C5D24" w:rsidP="00D03B78" w:rsidRDefault="000C5D24" w14:paraId="35CE1025" w14:textId="77777777">
      <w:pPr>
        <w:pStyle w:val="Standard"/>
        <w:numPr>
          <w:ilvl w:val="0"/>
          <w:numId w:val="26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oświadczenie wnioskodawcy o dochodzie członków rodziny niepodlegającym opodatkowaniu podatkiem dochodowym od osób fizycznych dotyczący, osiągniętym w roku kalendarzowym poprzedzającym rok akademicki (zał. nr 12);</w:t>
      </w:r>
    </w:p>
    <w:p w:rsidRPr="00B13F27" w:rsidR="000C5D24" w:rsidP="00D03B78" w:rsidRDefault="000C5D24" w14:paraId="3D4E2E9D" w14:textId="77777777">
      <w:pPr>
        <w:pStyle w:val="Standard"/>
        <w:numPr>
          <w:ilvl w:val="0"/>
          <w:numId w:val="26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zaświadczenia z Zakładu Ubezpieczeń Społecznych, od pracodawcy albo oświadczenia członków rodziny zawierające informację o wysokości składek na ubezpieczenie zdrowotne w roku kalendarzowym poprzedzającym rok akademicki (zał. nr 15);</w:t>
      </w:r>
    </w:p>
    <w:p w:rsidRPr="00B13F27" w:rsidR="000C5D24" w:rsidP="00D03B78" w:rsidRDefault="000C5D24" w14:paraId="7B5F0856" w14:textId="77777777">
      <w:pPr>
        <w:pStyle w:val="Standard"/>
        <w:numPr>
          <w:ilvl w:val="0"/>
          <w:numId w:val="26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 xml:space="preserve">zaświadczenie właściwego organu gminy, nakaz płatniczy albo oświadczenie o wielkości gospodarstwa rolnego wyrażonej w hektarach przeliczeniowych ogólnej powierzchni w roku kalendarzowym poprzedzającym rok akademicki (zał. nr 16). W przypadku, gdy do ustalania wysokości dochodu 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>uprawniającego do ubiegania się o pomoc materialną przyjmuje się dochód z gospodarstwa rolnego, dochód ten ustala się na podstawie powierzchni użytków rolnych w hektarach przeliczeniowych i wysokości przeciętnego dochodu z pracy w indywidualnych gospodarstwach rolnych z 1 hektara przeliczeniowego, ogłaszanego na podstawie art. 18 ustawy z dnia 15 listopada 1984 r. o podatku rolnym (</w:t>
      </w:r>
      <w:proofErr w:type="spellStart"/>
      <w:r w:rsidRPr="00B13F27">
        <w:rPr>
          <w:rFonts w:asciiTheme="minorHAnsi" w:hAnsiTheme="minorHAnsi" w:cstheme="minorHAnsi"/>
          <w:color w:val="auto"/>
          <w:sz w:val="20"/>
          <w:szCs w:val="20"/>
        </w:rPr>
        <w:t>t.j</w:t>
      </w:r>
      <w:proofErr w:type="spellEnd"/>
      <w:r w:rsidRPr="00B13F27">
        <w:rPr>
          <w:rFonts w:asciiTheme="minorHAnsi" w:hAnsiTheme="minorHAnsi" w:cstheme="minorHAnsi"/>
          <w:color w:val="auto"/>
          <w:sz w:val="20"/>
          <w:szCs w:val="20"/>
        </w:rPr>
        <w:t>. Dz. U. z 2020 r., poz. 333).</w:t>
      </w:r>
    </w:p>
    <w:p w:rsidRPr="00B13F27" w:rsidR="000C5D24" w:rsidP="000C5D24" w:rsidRDefault="000C5D24" w14:paraId="07CFBA24" w14:textId="77777777">
      <w:pPr>
        <w:pStyle w:val="Akapitzlist"/>
        <w:tabs>
          <w:tab w:val="left" w:pos="1429"/>
        </w:tabs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W przypadku uzyskiwania dochodów z gospodarstwa rolnego oraz dochodów pozarolniczych dochody te sumuje się. W przypadku ustalania dochodu z gospodarstwa rolnego dochód rodziny ustala się na podstawie przeciętnej liczby hektarów przeliczeniowych znajdujących się w posiadaniu rodziny w roku kalendarzowym poprzedzającym okres występowania o świadczenie;</w:t>
      </w:r>
    </w:p>
    <w:p w:rsidRPr="00B13F27" w:rsidR="000C5D24" w:rsidP="00D03B78" w:rsidRDefault="000C5D24" w14:paraId="4724A3F6" w14:textId="77777777">
      <w:pPr>
        <w:pStyle w:val="Standard"/>
        <w:numPr>
          <w:ilvl w:val="0"/>
          <w:numId w:val="26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kopię umowy dzierżawy, w przypadku oddania części lub całości znajdującego się w posiadaniu rodziny gospodarstwa rolnego w dzierżawę, na podstawie umowy zawartej stosownie do przepisów o ubezpieczeniu społecznym rolników albo oddania gospodarstwa rolnego w dzierżawę w związku z pobieraniem renty określonej w przepisach o wspieraniu rozwoju obszarów wiejskich ze środków pochodzących z Sekcji Gwarancji Europejskiego Funduszu Orientacji i Gwarancji Rolnej;</w:t>
      </w:r>
    </w:p>
    <w:p w:rsidRPr="00B13F27" w:rsidR="000C5D24" w:rsidP="00D03B78" w:rsidRDefault="000C5D24" w14:paraId="63B2E6A3" w14:textId="77777777">
      <w:pPr>
        <w:pStyle w:val="Standard"/>
        <w:numPr>
          <w:ilvl w:val="0"/>
          <w:numId w:val="26"/>
        </w:numPr>
        <w:tabs>
          <w:tab w:val="left" w:pos="-11"/>
        </w:tabs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umowę zawartą w formie aktu notarialnego, w przypadku wniesienia gospodarstwa rolnego do użytkowania przez rolniczą spółdzielnię produkcyjną;</w:t>
      </w:r>
    </w:p>
    <w:p w:rsidRPr="00B13F27" w:rsidR="000C5D24" w:rsidP="5337EC06" w:rsidRDefault="000C5D24" w14:paraId="6146E5FC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odpis podlegającego wykonaniu orzeczenia sądu zasądzającego alimenty na rzecz osób w rodzinie lub poza rodziną lub odpis protokołu posiedzenia zawierającego treść ugody sądowej, lub odpis zatwierdzonej przez sąd ugody zawartej przed mediatorem l</w:t>
      </w: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ub inny tytuł wykonawczy pochodzący lub zatwierdzony przez sąd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>, zobowiązujących do alimentów na rzecz osób w rodzinie lub poza rodziną;</w:t>
      </w:r>
    </w:p>
    <w:p w:rsidRPr="00B13F27" w:rsidR="000C5D24" w:rsidP="5337EC06" w:rsidRDefault="000C5D24" w14:paraId="77F1EE87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przekazy lub przelewy pieniężne dokumentujące wysokość zapłaconych alimentów, jeżeli członkowie rodziny są zobowiązani wyrokiem sądu lub ugodą sądową, lub ugodą zawartą przed mediatorem l</w:t>
      </w:r>
      <w:r w:rsidRPr="00B13F2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ub innym tytułem wykonawczym pochodzącym lub zatwierdzonym przez sąd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 xml:space="preserve"> do ich płacenia na rzecz osób spoza rodziny w przypadku, gdy zasądzony jest procent od miesięcznych dochodów oraz 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 xml:space="preserve">w przypadku, gdy zobowiązana osoba płaci alimenty wyższe niż zasądzone; kwoty udokumentowane 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>w ten sposób są odliczane od dochodów wykazanych na podstawie pozostałych dokumentów;</w:t>
      </w:r>
    </w:p>
    <w:p w:rsidRPr="00B13F27" w:rsidR="000C5D24" w:rsidP="5CB7D338" w:rsidRDefault="000C5D24" w14:paraId="1758A629" w14:textId="1AD608B1">
      <w:pPr>
        <w:pStyle w:val="Standard"/>
        <w:numPr>
          <w:ilvl w:val="0"/>
          <w:numId w:val="26"/>
        </w:numPr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45F25761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w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przypadku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 gdy osoba uprawniona nie otrzymała alimentów albo otrzymała je w wysokości niższej od ustalonej w wyroku sądu, ugodzie sądowej lub ugodzie zawartej przed mediatorem:</w:t>
      </w:r>
    </w:p>
    <w:p w:rsidRPr="00B13F27" w:rsidR="000C5D24" w:rsidP="00EE41DB" w:rsidRDefault="000C5D24" w14:paraId="3EEB22C6" w14:textId="77777777">
      <w:pPr>
        <w:pStyle w:val="Standard"/>
        <w:ind w:left="70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– zaświadczenie organu prowadzącego postępowanie egzekucyjne o całkowitej lub częściowej bezskuteczności egzekucji alimentów, a także o wysokości wyegzekwowanych alimentów, lub</w:t>
      </w:r>
    </w:p>
    <w:p w:rsidRPr="00B13F27" w:rsidR="000C5D24" w:rsidP="00EE41DB" w:rsidRDefault="000C5D24" w14:paraId="5DA1E264" w14:textId="77777777">
      <w:pPr>
        <w:pStyle w:val="Standard"/>
        <w:ind w:left="70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 xml:space="preserve">– informację właściwego sądu lub właściwej instytucji o podjęciu przez osobę uprawnioną czynności związanych z wykonaniem tytułu wykonawczego za granicą albo o niepodjęciu tych czynności, 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>w szczególności w związku z brakiem podstawy prawnej do ich podjęcia lub brakiem możliwości wskazania przez osobę uprawnioną miejsca zamieszkania dłużnika alimentacyjnego za granicą, jeżeli dłużnik zamieszkuje za granicą;</w:t>
      </w:r>
    </w:p>
    <w:p w:rsidRPr="00B13F27" w:rsidR="000C5D24" w:rsidP="00D03B78" w:rsidRDefault="000C5D24" w14:paraId="2676F5B7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 xml:space="preserve">dokument określający datę utraty dochodu </w:t>
      </w:r>
      <w:r w:rsidRPr="00B13F27">
        <w:rPr>
          <w:rFonts w:asciiTheme="minorHAnsi" w:hAnsiTheme="minorHAnsi" w:cstheme="minorHAnsi"/>
          <w:strike/>
          <w:color w:val="auto"/>
          <w:sz w:val="20"/>
          <w:szCs w:val="20"/>
        </w:rPr>
        <w:t>(</w:t>
      </w:r>
      <w:r w:rsidRPr="00B13F27">
        <w:rPr>
          <w:rFonts w:asciiTheme="minorHAnsi" w:hAnsiTheme="minorHAnsi" w:cstheme="minorHAnsi"/>
          <w:color w:val="auto"/>
          <w:sz w:val="20"/>
          <w:szCs w:val="20"/>
        </w:rPr>
        <w:t>kopię świadectwa pracy/umów zlecenia) oraz zaświadczenie z Powiatowego Urzędu Pracy z informacją o dacie uzyskania statusu osoby bezrobotnej wraz z wysokością zasiłku dla osób bezrobotnych netto za miesiąc następujący po uzyskaniu. W przypadku braku zarejestrowania w PUP wymagane jest oświadczenie dotyczące aktualnej sytuacji w sprawie braku zatrudnienia z klauzulą „Jestem świadomy/-a odpowiedzialności karnej za składanie fałszywych oświadczeń.”;</w:t>
      </w:r>
    </w:p>
    <w:p w:rsidRPr="00B13F27" w:rsidR="000C5D24" w:rsidP="00D03B78" w:rsidRDefault="000C5D24" w14:paraId="3CBD29B9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dokument określający wysokość dochodu uzyskanego przez członka rodziny oraz liczbę miesięcy, w których dochód był osiągany – w przypadku uzyskania dochodu w roku kalendarzowym poprzedzającym rok akademicki;</w:t>
      </w:r>
    </w:p>
    <w:p w:rsidRPr="00B13F27" w:rsidR="000C5D24" w:rsidP="00D03B78" w:rsidRDefault="000C5D24" w14:paraId="3FF6798C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dokument określający wysokość dochodu uzyskanego przez członka rodziny z miesiąca następującego po miesiącu, w którym dochód został osiągnięty – w przypadku uzyskania dochodu po roku kalendarzowym poprzedzającym rok akademicki;</w:t>
      </w:r>
    </w:p>
    <w:p w:rsidRPr="00B13F27" w:rsidR="000C5D24" w:rsidP="00D03B78" w:rsidRDefault="000C5D24" w14:paraId="6DA1B371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13F27">
        <w:rPr>
          <w:rFonts w:asciiTheme="minorHAnsi" w:hAnsiTheme="minorHAnsi" w:cstheme="minorHAnsi"/>
          <w:color w:val="auto"/>
          <w:sz w:val="20"/>
          <w:szCs w:val="20"/>
        </w:rPr>
        <w:t>akty zgonu rodziców lub odpis podlegającego wykonaniu wyroku zasądzającego alimenty lub odpis protokołu posiedzenia zawierającego treść ugody sądowej, lub odpis zatwierdzonej przez sąd ugody zawartej przed mediatorem, zobowiązujących do alimentów – w przypadku osoby uczącej się;</w:t>
      </w:r>
    </w:p>
    <w:p w:rsidRPr="00B13F27" w:rsidR="000C5D24" w:rsidP="5AB8F680" w:rsidRDefault="000C5D24" w14:paraId="6F6DF01B" w14:textId="3117BDE6">
      <w:pPr>
        <w:pStyle w:val="Standard"/>
        <w:numPr>
          <w:ilvl w:val="0"/>
          <w:numId w:val="26"/>
        </w:numPr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kopię karty pobytu, w przypadku cudzoziemca przebywającego na terytorium Rzeczypospolitej Polskiej na podstawie zezwolenia na osiedlenie się, zezwolenia na pobyt rezydenta długoterminowego Wspólnot Europejskich,  zezwolenia na pobyt czasowy w związku z okolicznościami, o których mowa w art. 159 ust. 1 lub art. 186 ust. 1 pkt 3 lub 4 ustawy z dnia 12 grudnia 2013 r. o cudzoziemcach (tekst jednolity </w:t>
      </w:r>
      <w:r w:rsidRPr="1A26B965" w:rsidR="5CC600D6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Dz. U. z 2023 r., poz. 519 ze zm.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);  lub w związku z uzyskaniem w Rzeczypospolitej Polskiej Statusu uchodźcy lub ochrony uzupełniającej; kopię certyfikatu poświadczającego znajomość języka polskiego jako obcego,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o którym mowa w art. 11a ust. 2 ustawy z dnia 7 października 1999 r. o języku polskim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(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t.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j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. </w:t>
      </w:r>
      <w:r w:rsidRPr="1A26B965" w:rsidR="00507CBA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Dz. U. z 2021 r., poz. 672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), co najmniej na poziomie biegłości językowej C1;</w:t>
      </w:r>
    </w:p>
    <w:p w:rsidRPr="00B13F27" w:rsidR="000C5D24" w:rsidP="00D03B78" w:rsidRDefault="000C5D24" w14:paraId="67A137F6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kopię odpisu prawomocnego wyroku sądu rodzinnego orzekającego rozwód lub separację albo kopię aktu zgonu małżonka lub rodzica dziecka – w przypadku osoby samotnie wychowującej dziecko;</w:t>
      </w:r>
    </w:p>
    <w:p w:rsidRPr="00B13F27" w:rsidR="000C5D24" w:rsidP="00D03B78" w:rsidRDefault="000C5D24" w14:paraId="2EECD7D2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odpis zupełny aktu urodzenia dziecka, w przypadku, gdy ojciec jest nieznany;</w:t>
      </w:r>
    </w:p>
    <w:p w:rsidRPr="00B13F27" w:rsidR="000C5D24" w:rsidP="00D03B78" w:rsidRDefault="000C5D24" w14:paraId="4F206C01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odpis prawomocnego wyroku oddalającego powództwo o ustalenie alimentów;</w:t>
      </w:r>
    </w:p>
    <w:p w:rsidRPr="00B13F27" w:rsidR="000C5D24" w:rsidP="00D03B78" w:rsidRDefault="000C5D24" w14:paraId="29DC3E9A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orzeczenie sądu zobowiązujące jednego z rodziców do ponoszenia całkowitych kosztów utrzymania dziecka;</w:t>
      </w:r>
    </w:p>
    <w:p w:rsidRPr="00B13F27" w:rsidR="000C5D24" w:rsidP="00D03B78" w:rsidRDefault="000C5D24" w14:paraId="015A646E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odpis prawomocnego wyroku sądu rodzinnego stwierdzającego przysposobienie lub zaświadczenie sądu rodzinnego lub ośrodka adopcyjno-opiekuńczego o prowadzonym postępowaniu sądowym w sprawie o przysposobienie dziecka;</w:t>
      </w:r>
    </w:p>
    <w:p w:rsidRPr="00B13F27" w:rsidR="000C5D24" w:rsidP="00D03B78" w:rsidRDefault="000C5D24" w14:paraId="03CB7235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orzeczenie sądu rodzinnego o ustaleniu opiekuna prawnego dziecka;</w:t>
      </w:r>
    </w:p>
    <w:p w:rsidRPr="00B13F27" w:rsidR="000C5D24" w:rsidP="00D03B78" w:rsidRDefault="000C5D24" w14:paraId="2EE90F1B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zaświadczenie właściwej w sprawie jednostki Policji o przyjęciu zgłoszenia zaginięcia członka rodziny, a w przypadku cudzoziemców właściwej instytucji. Ustalając dochód rodziny, nie uwzględnia się dochodu uzyskiwanego przez zaginionego członka rodziny, a ustalając dochód w przeliczeniu na osobę w rodzinie nie uwzględnia się tej osoby;</w:t>
      </w:r>
    </w:p>
    <w:p w:rsidRPr="00B13F27" w:rsidR="000C5D24" w:rsidP="00D03B78" w:rsidRDefault="000C5D24" w14:paraId="3DF55875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kopię orzeczenia o stopniu niepełnosprawności lub o niezdolności do pracy studenta, a także kopię ww. dokumentów w przypadku, gdy w rodzinie wychowuje się dziecko niepełnosprawne,</w:t>
      </w:r>
    </w:p>
    <w:p w:rsidRPr="00B13F27" w:rsidR="000C5D24" w:rsidP="00D03B78" w:rsidRDefault="000C5D24" w14:paraId="084F4C4C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kopię skróconego odpisu aktu urodzenia dziecka lub inny dokument urzędowy potwierdzający wiek nieuczącego się rodzeństwa lub dzieci;</w:t>
      </w:r>
    </w:p>
    <w:p w:rsidRPr="00B13F27" w:rsidR="000C5D24" w:rsidP="00D03B78" w:rsidRDefault="000C5D24" w14:paraId="652EBBDA" w14:textId="3F2E41F1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zaświadczenie </w:t>
      </w:r>
      <w:r w:rsidRPr="1A26B965" w:rsidR="001A7996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 xml:space="preserve">ze </w:t>
      </w: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szkoły albo oświadczenie o uczęszczaniu do szkoły lub szkoły wyższej rodzeństwa lub dziecka studenta (zał. nr 17);</w:t>
      </w:r>
    </w:p>
    <w:p w:rsidRPr="00B13F27" w:rsidR="000C5D24" w:rsidP="00D03B78" w:rsidRDefault="000C5D24" w14:paraId="4CE97588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zaświadczenie pracodawcy albo oświadczenie o terminie i okresie, na jaki został udzielony urlop wychowawczy oraz o co najmniej sześciomiesięcznym okresie pozostawania w stosunku pracy bezpośrednio przed uzyskaniem prawa do urlopu wychowawczego (zał. nr 18);</w:t>
      </w:r>
    </w:p>
    <w:p w:rsidRPr="00B13F27" w:rsidR="000C5D24" w:rsidP="00D03B78" w:rsidRDefault="000C5D24" w14:paraId="334ECC5B" w14:textId="77777777">
      <w:pPr>
        <w:pStyle w:val="Standard"/>
        <w:numPr>
          <w:ilvl w:val="0"/>
          <w:numId w:val="26"/>
        </w:numPr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zaświadczenie placówki zapewniającej całodobową opiekę, w przypadku umieszczenia w niej dziecka, o liczbie dni w tygodniu, w których korzysta w niej z całodobowej opieki, albo oświadczenie o niekorzystaniu przez więcej niż 5 dni w tygodniu z całodobowej opieki nad dzieckiem umieszczonym w placówce zapewniającej całodobową opiekę, w tym w specjalnym ośrodku szkolno-wychowawczym (zał. nr 19);</w:t>
      </w:r>
    </w:p>
    <w:p w:rsidRPr="00B13F27" w:rsidR="00083553" w:rsidP="2A2DF2BC" w:rsidRDefault="00083553" w14:paraId="6591866E" w14:textId="449192A9">
      <w:pPr>
        <w:pStyle w:val="Standard"/>
        <w:numPr>
          <w:ilvl w:val="0"/>
          <w:numId w:val="26"/>
        </w:numPr>
        <w:jc w:val="both"/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</w:pPr>
      <w:r w:rsidRPr="1A26B965" w:rsidR="000C5D24">
        <w:rPr>
          <w:rFonts w:ascii="Calibri" w:hAnsi="Calibri" w:cs="Calibri" w:asciiTheme="minorAscii" w:hAnsiTheme="minorAscii" w:cstheme="minorAscii"/>
          <w:color w:val="auto"/>
          <w:sz w:val="20"/>
          <w:szCs w:val="20"/>
        </w:rPr>
        <w:t>inne dokumenty i oświadczenia niezbędne do ustalenia prawa do świadczeń stypendialnych przysługujących na mocy ustawy – Prawo o szkolnictwie wyższym i nauce.</w:t>
      </w:r>
    </w:p>
    <w:sectPr w:rsidRPr="00B13F27" w:rsidR="0008355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452" w:rsidP="00F26839" w:rsidRDefault="00A21452" w14:paraId="3AD132F4" w14:textId="77777777">
      <w:pPr>
        <w:spacing w:line="240" w:lineRule="auto"/>
      </w:pPr>
      <w:r>
        <w:separator/>
      </w:r>
    </w:p>
  </w:endnote>
  <w:endnote w:type="continuationSeparator" w:id="0">
    <w:p w:rsidR="00A21452" w:rsidP="00F26839" w:rsidRDefault="00A21452" w14:paraId="40F5F8F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39" w:rsidRDefault="00F26839" w14:paraId="3F4F37A2" w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39" w:rsidRDefault="00F26839" w14:paraId="34EEDE70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39" w:rsidRDefault="00F26839" w14:paraId="34D4D3B2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452" w:rsidP="00F26839" w:rsidRDefault="00A21452" w14:paraId="38ED863C" w14:textId="77777777">
      <w:pPr>
        <w:spacing w:line="240" w:lineRule="auto"/>
      </w:pPr>
      <w:r>
        <w:separator/>
      </w:r>
    </w:p>
  </w:footnote>
  <w:footnote w:type="continuationSeparator" w:id="0">
    <w:p w:rsidR="00A21452" w:rsidP="00F26839" w:rsidRDefault="00A21452" w14:paraId="350C36AF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39" w:rsidRDefault="00F26839" w14:paraId="5D86550C" w14:textId="777777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F26839" w:rsidR="00F26839" w:rsidP="00F26839" w:rsidRDefault="00F26839" w14:paraId="40C11C6E" w14:textId="77777777">
    <w:pPr>
      <w:pStyle w:val="Nagwek"/>
      <w:jc w:val="right"/>
      <w:rPr>
        <w:sz w:val="12"/>
        <w:szCs w:val="12"/>
      </w:rPr>
    </w:pPr>
    <w:r w:rsidRPr="00F26839">
      <w:rPr>
        <w:sz w:val="12"/>
        <w:szCs w:val="12"/>
      </w:rPr>
      <w:t xml:space="preserve">Załącznik nr 7 </w:t>
    </w:r>
  </w:p>
  <w:p w:rsidRPr="00F26839" w:rsidR="00F26839" w:rsidP="00F26839" w:rsidRDefault="00F26839" w14:paraId="1D68DF63" w14:textId="77777777">
    <w:pPr>
      <w:pStyle w:val="Nagwek"/>
      <w:jc w:val="right"/>
      <w:rPr>
        <w:sz w:val="12"/>
        <w:szCs w:val="12"/>
      </w:rPr>
    </w:pPr>
    <w:r w:rsidRPr="00F26839">
      <w:rPr>
        <w:sz w:val="12"/>
        <w:szCs w:val="12"/>
      </w:rPr>
      <w:t xml:space="preserve">do Regulaminu świadczeń stypendialnych </w:t>
    </w:r>
  </w:p>
  <w:p w:rsidRPr="00F26839" w:rsidR="00F26839" w:rsidP="00F26839" w:rsidRDefault="00F26839" w14:paraId="77CBC565" w14:textId="5B4EA145">
    <w:pPr>
      <w:pStyle w:val="Nagwek"/>
      <w:jc w:val="right"/>
      <w:rPr>
        <w:sz w:val="12"/>
        <w:szCs w:val="12"/>
      </w:rPr>
    </w:pPr>
    <w:r w:rsidRPr="00F26839">
      <w:rPr>
        <w:sz w:val="12"/>
        <w:szCs w:val="12"/>
      </w:rPr>
      <w:t>dla studentów i doktorantów UŁ</w:t>
    </w:r>
  </w:p>
  <w:p w:rsidR="00F26839" w:rsidRDefault="00F26839" w14:paraId="240AACC5" w14:textId="777777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39" w:rsidRDefault="00F26839" w14:paraId="65CDBB70" w14:textId="777777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15">
    <w:nsid w:val="7e018f8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D1164F3"/>
    <w:multiLevelType w:val="multilevel"/>
    <w:tmpl w:val="3B406388"/>
    <w:styleLink w:val="WWNum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917" w:hanging="360"/>
      </w:pPr>
    </w:lvl>
    <w:lvl w:ilvl="2">
      <w:start w:val="1"/>
      <w:numFmt w:val="lowerRoman"/>
      <w:lvlText w:val="%1.%2.%3."/>
      <w:lvlJc w:val="left"/>
      <w:pPr>
        <w:ind w:left="2433" w:hanging="180"/>
      </w:pPr>
    </w:lvl>
    <w:lvl w:ilvl="3">
      <w:start w:val="1"/>
      <w:numFmt w:val="decimal"/>
      <w:lvlText w:val="%1.%2.%3.%4."/>
      <w:lvlJc w:val="left"/>
      <w:pPr>
        <w:ind w:left="3153" w:hanging="360"/>
      </w:pPr>
    </w:lvl>
    <w:lvl w:ilvl="4">
      <w:start w:val="1"/>
      <w:numFmt w:val="lowerLetter"/>
      <w:lvlText w:val="%1.%2.%3.%4.%5."/>
      <w:lvlJc w:val="left"/>
      <w:pPr>
        <w:ind w:left="3873" w:hanging="360"/>
      </w:pPr>
    </w:lvl>
    <w:lvl w:ilvl="5">
      <w:start w:val="1"/>
      <w:numFmt w:val="lowerRoman"/>
      <w:lvlText w:val="%1.%2.%3.%4.%5.%6."/>
      <w:lvlJc w:val="left"/>
      <w:pPr>
        <w:ind w:left="4593" w:hanging="180"/>
      </w:pPr>
    </w:lvl>
    <w:lvl w:ilvl="6">
      <w:start w:val="1"/>
      <w:numFmt w:val="decimal"/>
      <w:lvlText w:val="%1.%2.%3.%4.%5.%6.%7."/>
      <w:lvlJc w:val="left"/>
      <w:pPr>
        <w:ind w:left="5313" w:hanging="360"/>
      </w:pPr>
    </w:lvl>
    <w:lvl w:ilvl="7">
      <w:start w:val="1"/>
      <w:numFmt w:val="lowerLetter"/>
      <w:lvlText w:val="%1.%2.%3.%4.%5.%6.%7.%8."/>
      <w:lvlJc w:val="left"/>
      <w:pPr>
        <w:ind w:left="6033" w:hanging="360"/>
      </w:pPr>
    </w:lvl>
    <w:lvl w:ilvl="8">
      <w:start w:val="1"/>
      <w:numFmt w:val="lowerRoman"/>
      <w:lvlText w:val="%1.%2.%3.%4.%5.%6.%7.%8.%9."/>
      <w:lvlJc w:val="left"/>
      <w:pPr>
        <w:ind w:left="6753" w:hanging="180"/>
      </w:pPr>
    </w:lvl>
  </w:abstractNum>
  <w:abstractNum w:abstractNumId="1" w15:restartNumberingAfterBreak="0">
    <w:nsid w:val="141515F1"/>
    <w:multiLevelType w:val="multilevel"/>
    <w:tmpl w:val="D1E25CCE"/>
    <w:numStyleLink w:val="WWNum7"/>
  </w:abstractNum>
  <w:abstractNum w:abstractNumId="2" w15:restartNumberingAfterBreak="0">
    <w:nsid w:val="2B0102BA"/>
    <w:multiLevelType w:val="multilevel"/>
    <w:tmpl w:val="7F22CF9E"/>
    <w:styleLink w:val="WWNum5"/>
    <w:lvl w:ilvl="0">
      <w:start w:val="1"/>
      <w:numFmt w:val="lowerLetter"/>
      <w:lvlText w:val="%1)"/>
      <w:lvlJc w:val="left"/>
      <w:pPr>
        <w:ind w:left="796" w:hanging="360"/>
      </w:p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1.%2.%3."/>
      <w:lvlJc w:val="right"/>
      <w:pPr>
        <w:ind w:left="2236" w:hanging="180"/>
      </w:pPr>
    </w:lvl>
    <w:lvl w:ilvl="3">
      <w:start w:val="1"/>
      <w:numFmt w:val="decimal"/>
      <w:lvlText w:val="%1.%2.%3.%4."/>
      <w:lvlJc w:val="left"/>
      <w:pPr>
        <w:ind w:left="2956" w:hanging="360"/>
      </w:pPr>
    </w:lvl>
    <w:lvl w:ilvl="4">
      <w:start w:val="1"/>
      <w:numFmt w:val="lowerLetter"/>
      <w:lvlText w:val="%1.%2.%3.%4.%5."/>
      <w:lvlJc w:val="left"/>
      <w:pPr>
        <w:ind w:left="3676" w:hanging="360"/>
      </w:pPr>
    </w:lvl>
    <w:lvl w:ilvl="5">
      <w:start w:val="1"/>
      <w:numFmt w:val="lowerRoman"/>
      <w:lvlText w:val="%1.%2.%3.%4.%5.%6."/>
      <w:lvlJc w:val="right"/>
      <w:pPr>
        <w:ind w:left="4396" w:hanging="180"/>
      </w:pPr>
    </w:lvl>
    <w:lvl w:ilvl="6">
      <w:start w:val="1"/>
      <w:numFmt w:val="decimal"/>
      <w:lvlText w:val="%1.%2.%3.%4.%5.%6.%7."/>
      <w:lvlJc w:val="left"/>
      <w:pPr>
        <w:ind w:left="5116" w:hanging="360"/>
      </w:pPr>
    </w:lvl>
    <w:lvl w:ilvl="7">
      <w:start w:val="1"/>
      <w:numFmt w:val="lowerLetter"/>
      <w:lvlText w:val="%1.%2.%3.%4.%5.%6.%7.%8."/>
      <w:lvlJc w:val="left"/>
      <w:pPr>
        <w:ind w:left="5836" w:hanging="360"/>
      </w:pPr>
    </w:lvl>
    <w:lvl w:ilvl="8">
      <w:start w:val="1"/>
      <w:numFmt w:val="lowerRoman"/>
      <w:lvlText w:val="%1.%2.%3.%4.%5.%6.%7.%8.%9."/>
      <w:lvlJc w:val="right"/>
      <w:pPr>
        <w:ind w:left="6556" w:hanging="180"/>
      </w:pPr>
    </w:lvl>
  </w:abstractNum>
  <w:abstractNum w:abstractNumId="3" w15:restartNumberingAfterBreak="0">
    <w:nsid w:val="2E1344C0"/>
    <w:multiLevelType w:val="hybridMultilevel"/>
    <w:tmpl w:val="CF78AF44"/>
    <w:lvl w:ilvl="0" w:tplc="6382070C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F1EFA"/>
    <w:multiLevelType w:val="multilevel"/>
    <w:tmpl w:val="244CDDCA"/>
    <w:lvl w:ilvl="0">
      <w:start w:val="1"/>
      <w:numFmt w:val="decimal"/>
      <w:lvlText w:val="%1"/>
      <w:lvlJc w:val="left"/>
      <w:pPr>
        <w:ind w:left="1004" w:hanging="720"/>
      </w:pPr>
      <w:rPr>
        <w:b w:val="0"/>
        <w:sz w:val="20"/>
        <w:szCs w:val="20"/>
      </w:rPr>
    </w:lvl>
    <w:lvl w:ilvl="1">
      <w:start w:val="1"/>
      <w:numFmt w:val="decimal"/>
      <w:lvlText w:val="%2"/>
      <w:lvlJc w:val="left"/>
      <w:pPr>
        <w:ind w:left="1724" w:hanging="720"/>
      </w:pPr>
    </w:lvl>
    <w:lvl w:ilvl="2">
      <w:start w:val="1"/>
      <w:numFmt w:val="decimal"/>
      <w:lvlText w:val="%1.%2.%3"/>
      <w:lvlJc w:val="left"/>
      <w:pPr>
        <w:ind w:left="2444" w:hanging="720"/>
      </w:pPr>
    </w:lvl>
    <w:lvl w:ilvl="3">
      <w:start w:val="1"/>
      <w:numFmt w:val="decimal"/>
      <w:lvlText w:val="%1.%2.%3.%4"/>
      <w:lvlJc w:val="left"/>
      <w:pPr>
        <w:ind w:left="3164" w:hanging="720"/>
      </w:pPr>
    </w:lvl>
    <w:lvl w:ilvl="4">
      <w:start w:val="1"/>
      <w:numFmt w:val="decimal"/>
      <w:lvlText w:val="%1.%2.%3.%4.%5"/>
      <w:lvlJc w:val="left"/>
      <w:pPr>
        <w:ind w:left="3884" w:hanging="720"/>
      </w:pPr>
    </w:lvl>
    <w:lvl w:ilvl="5">
      <w:start w:val="1"/>
      <w:numFmt w:val="decimal"/>
      <w:lvlText w:val="%1.%2.%3.%4.%5.%6"/>
      <w:lvlJc w:val="left"/>
      <w:pPr>
        <w:ind w:left="4604" w:hanging="720"/>
      </w:pPr>
    </w:lvl>
    <w:lvl w:ilvl="6">
      <w:start w:val="1"/>
      <w:numFmt w:val="decimal"/>
      <w:lvlText w:val="%1.%2.%3.%4.%5.%6.%7"/>
      <w:lvlJc w:val="left"/>
      <w:pPr>
        <w:ind w:left="5324" w:hanging="720"/>
      </w:pPr>
    </w:lvl>
    <w:lvl w:ilvl="7">
      <w:start w:val="1"/>
      <w:numFmt w:val="decimal"/>
      <w:lvlText w:val="%1.%2.%3.%4.%5.%6.%7.%8"/>
      <w:lvlJc w:val="left"/>
      <w:pPr>
        <w:ind w:left="6044" w:hanging="720"/>
      </w:pPr>
    </w:lvl>
    <w:lvl w:ilvl="8">
      <w:start w:val="1"/>
      <w:numFmt w:val="decimal"/>
      <w:lvlText w:val="%1.%2.%3.%4.%5.%6.%7.%8.%9"/>
      <w:lvlJc w:val="left"/>
      <w:pPr>
        <w:ind w:left="6764" w:hanging="720"/>
      </w:pPr>
    </w:lvl>
  </w:abstractNum>
  <w:abstractNum w:abstractNumId="5" w15:restartNumberingAfterBreak="0">
    <w:nsid w:val="369E1977"/>
    <w:multiLevelType w:val="multilevel"/>
    <w:tmpl w:val="361A06FE"/>
    <w:styleLink w:val="WWNum6"/>
    <w:lvl w:ilvl="0">
      <w:numFmt w:val="bullet"/>
      <w:lvlText w:val=""/>
      <w:lvlJc w:val="left"/>
      <w:pPr>
        <w:ind w:left="534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25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7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9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41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3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5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7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94" w:hanging="360"/>
      </w:pPr>
      <w:rPr>
        <w:rFonts w:ascii="Wingdings" w:hAnsi="Wingdings" w:cs="Wingdings"/>
      </w:rPr>
    </w:lvl>
  </w:abstractNum>
  <w:abstractNum w:abstractNumId="6" w15:restartNumberingAfterBreak="0">
    <w:nsid w:val="39F401FE"/>
    <w:multiLevelType w:val="multilevel"/>
    <w:tmpl w:val="4466737C"/>
    <w:lvl w:ilvl="0">
      <w:numFmt w:val="bullet"/>
      <w:lvlText w:val="•"/>
      <w:lvlJc w:val="left"/>
      <w:pPr>
        <w:ind w:left="1428" w:hanging="360"/>
      </w:pPr>
      <w:rPr>
        <w:rFonts w:ascii="OpenSymbol" w:hAnsi="OpenSymbol" w:eastAsia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hAnsi="OpenSymbol" w:eastAsia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hAnsi="OpenSymbol" w:eastAsia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hAnsi="OpenSymbol" w:eastAsia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hAnsi="OpenSymbol" w:eastAsia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hAnsi="OpenSymbol" w:eastAsia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hAnsi="OpenSymbol" w:eastAsia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hAnsi="OpenSymbol" w:eastAsia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hAnsi="OpenSymbol" w:eastAsia="OpenSymbol" w:cs="OpenSymbol"/>
      </w:rPr>
    </w:lvl>
  </w:abstractNum>
  <w:abstractNum w:abstractNumId="7" w15:restartNumberingAfterBreak="0">
    <w:nsid w:val="3F2413C5"/>
    <w:multiLevelType w:val="multilevel"/>
    <w:tmpl w:val="A8F656A0"/>
    <w:styleLink w:val="WW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47914FB2"/>
    <w:multiLevelType w:val="multilevel"/>
    <w:tmpl w:val="29AAAD6A"/>
    <w:lvl w:ilvl="0">
      <w:start w:val="1"/>
      <w:numFmt w:val="decimal"/>
      <w:lvlText w:val="%1)"/>
      <w:lvlJc w:val="left"/>
      <w:pPr>
        <w:ind w:left="1004" w:hanging="720"/>
      </w:pPr>
      <w:rPr>
        <w:b w:val="0"/>
        <w:sz w:val="20"/>
        <w:szCs w:val="20"/>
      </w:rPr>
    </w:lvl>
    <w:lvl w:ilvl="1">
      <w:start w:val="1"/>
      <w:numFmt w:val="decimal"/>
      <w:lvlText w:val="%2"/>
      <w:lvlJc w:val="left"/>
      <w:pPr>
        <w:ind w:left="1724" w:hanging="720"/>
      </w:pPr>
    </w:lvl>
    <w:lvl w:ilvl="2">
      <w:start w:val="1"/>
      <w:numFmt w:val="decimal"/>
      <w:lvlText w:val="%1.%2.%3"/>
      <w:lvlJc w:val="left"/>
      <w:pPr>
        <w:ind w:left="2444" w:hanging="720"/>
      </w:pPr>
    </w:lvl>
    <w:lvl w:ilvl="3">
      <w:start w:val="1"/>
      <w:numFmt w:val="decimal"/>
      <w:lvlText w:val="%1.%2.%3.%4"/>
      <w:lvlJc w:val="left"/>
      <w:pPr>
        <w:ind w:left="3164" w:hanging="720"/>
      </w:pPr>
    </w:lvl>
    <w:lvl w:ilvl="4">
      <w:start w:val="1"/>
      <w:numFmt w:val="decimal"/>
      <w:lvlText w:val="%1.%2.%3.%4.%5"/>
      <w:lvlJc w:val="left"/>
      <w:pPr>
        <w:ind w:left="3884" w:hanging="720"/>
      </w:pPr>
    </w:lvl>
    <w:lvl w:ilvl="5">
      <w:start w:val="1"/>
      <w:numFmt w:val="decimal"/>
      <w:lvlText w:val="%1.%2.%3.%4.%5.%6"/>
      <w:lvlJc w:val="left"/>
      <w:pPr>
        <w:ind w:left="4604" w:hanging="720"/>
      </w:pPr>
    </w:lvl>
    <w:lvl w:ilvl="6">
      <w:start w:val="1"/>
      <w:numFmt w:val="decimal"/>
      <w:lvlText w:val="%1.%2.%3.%4.%5.%6.%7"/>
      <w:lvlJc w:val="left"/>
      <w:pPr>
        <w:ind w:left="5324" w:hanging="720"/>
      </w:pPr>
    </w:lvl>
    <w:lvl w:ilvl="7">
      <w:start w:val="1"/>
      <w:numFmt w:val="decimal"/>
      <w:lvlText w:val="%1.%2.%3.%4.%5.%6.%7.%8"/>
      <w:lvlJc w:val="left"/>
      <w:pPr>
        <w:ind w:left="6044" w:hanging="720"/>
      </w:pPr>
    </w:lvl>
    <w:lvl w:ilvl="8">
      <w:start w:val="1"/>
      <w:numFmt w:val="decimal"/>
      <w:lvlText w:val="%1.%2.%3.%4.%5.%6.%7.%8.%9"/>
      <w:lvlJc w:val="left"/>
      <w:pPr>
        <w:ind w:left="6764" w:hanging="720"/>
      </w:pPr>
    </w:lvl>
  </w:abstractNum>
  <w:abstractNum w:abstractNumId="9" w15:restartNumberingAfterBreak="0">
    <w:nsid w:val="5CA97CC8"/>
    <w:multiLevelType w:val="multilevel"/>
    <w:tmpl w:val="D1E25CCE"/>
    <w:styleLink w:val="WWNum7"/>
    <w:lvl w:ilvl="0">
      <w:start w:val="1"/>
      <w:numFmt w:val="decimal"/>
      <w:lvlText w:val="%1"/>
      <w:lvlJc w:val="left"/>
      <w:pPr>
        <w:ind w:left="1004" w:hanging="720"/>
      </w:pPr>
      <w:rPr>
        <w:b w:val="0"/>
      </w:rPr>
    </w:lvl>
    <w:lvl w:ilvl="1">
      <w:start w:val="1"/>
      <w:numFmt w:val="decimal"/>
      <w:lvlText w:val="%2"/>
      <w:lvlJc w:val="left"/>
      <w:pPr>
        <w:ind w:left="1724" w:hanging="720"/>
      </w:pPr>
    </w:lvl>
    <w:lvl w:ilvl="2">
      <w:start w:val="1"/>
      <w:numFmt w:val="decimal"/>
      <w:lvlText w:val="%1.%2.%3"/>
      <w:lvlJc w:val="left"/>
      <w:pPr>
        <w:ind w:left="2444" w:hanging="720"/>
      </w:pPr>
    </w:lvl>
    <w:lvl w:ilvl="3">
      <w:start w:val="1"/>
      <w:numFmt w:val="decimal"/>
      <w:lvlText w:val="%1.%2.%3.%4"/>
      <w:lvlJc w:val="left"/>
      <w:pPr>
        <w:ind w:left="3164" w:hanging="720"/>
      </w:pPr>
    </w:lvl>
    <w:lvl w:ilvl="4">
      <w:start w:val="1"/>
      <w:numFmt w:val="decimal"/>
      <w:lvlText w:val="%1.%2.%3.%4.%5"/>
      <w:lvlJc w:val="left"/>
      <w:pPr>
        <w:ind w:left="3884" w:hanging="720"/>
      </w:pPr>
    </w:lvl>
    <w:lvl w:ilvl="5">
      <w:start w:val="1"/>
      <w:numFmt w:val="decimal"/>
      <w:lvlText w:val="%1.%2.%3.%4.%5.%6"/>
      <w:lvlJc w:val="left"/>
      <w:pPr>
        <w:ind w:left="4604" w:hanging="720"/>
      </w:pPr>
    </w:lvl>
    <w:lvl w:ilvl="6">
      <w:start w:val="1"/>
      <w:numFmt w:val="decimal"/>
      <w:lvlText w:val="%1.%2.%3.%4.%5.%6.%7"/>
      <w:lvlJc w:val="left"/>
      <w:pPr>
        <w:ind w:left="5324" w:hanging="720"/>
      </w:pPr>
    </w:lvl>
    <w:lvl w:ilvl="7">
      <w:start w:val="1"/>
      <w:numFmt w:val="decimal"/>
      <w:lvlText w:val="%1.%2.%3.%4.%5.%6.%7.%8"/>
      <w:lvlJc w:val="left"/>
      <w:pPr>
        <w:ind w:left="6044" w:hanging="720"/>
      </w:pPr>
    </w:lvl>
    <w:lvl w:ilvl="8">
      <w:start w:val="1"/>
      <w:numFmt w:val="decimal"/>
      <w:lvlText w:val="%1.%2.%3.%4.%5.%6.%7.%8.%9"/>
      <w:lvlJc w:val="left"/>
      <w:pPr>
        <w:ind w:left="6764" w:hanging="720"/>
      </w:pPr>
    </w:lvl>
  </w:abstractNum>
  <w:abstractNum w:abstractNumId="10" w15:restartNumberingAfterBreak="0">
    <w:nsid w:val="5CC0783C"/>
    <w:multiLevelType w:val="multilevel"/>
    <w:tmpl w:val="D160D358"/>
    <w:styleLink w:val="WWNum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61177505"/>
    <w:multiLevelType w:val="multilevel"/>
    <w:tmpl w:val="29AAAD6A"/>
    <w:lvl w:ilvl="0">
      <w:start w:val="1"/>
      <w:numFmt w:val="decimal"/>
      <w:lvlText w:val="%1)"/>
      <w:lvlJc w:val="left"/>
      <w:pPr>
        <w:ind w:left="1004" w:hanging="720"/>
      </w:pPr>
      <w:rPr>
        <w:b w:val="0"/>
        <w:sz w:val="20"/>
        <w:szCs w:val="20"/>
      </w:rPr>
    </w:lvl>
    <w:lvl w:ilvl="1">
      <w:start w:val="1"/>
      <w:numFmt w:val="decimal"/>
      <w:lvlText w:val="%2"/>
      <w:lvlJc w:val="left"/>
      <w:pPr>
        <w:ind w:left="1724" w:hanging="720"/>
      </w:pPr>
    </w:lvl>
    <w:lvl w:ilvl="2">
      <w:start w:val="1"/>
      <w:numFmt w:val="decimal"/>
      <w:lvlText w:val="%1.%2.%3"/>
      <w:lvlJc w:val="left"/>
      <w:pPr>
        <w:ind w:left="2444" w:hanging="720"/>
      </w:pPr>
    </w:lvl>
    <w:lvl w:ilvl="3">
      <w:start w:val="1"/>
      <w:numFmt w:val="decimal"/>
      <w:lvlText w:val="%1.%2.%3.%4"/>
      <w:lvlJc w:val="left"/>
      <w:pPr>
        <w:ind w:left="3164" w:hanging="720"/>
      </w:pPr>
    </w:lvl>
    <w:lvl w:ilvl="4">
      <w:start w:val="1"/>
      <w:numFmt w:val="decimal"/>
      <w:lvlText w:val="%1.%2.%3.%4.%5"/>
      <w:lvlJc w:val="left"/>
      <w:pPr>
        <w:ind w:left="3884" w:hanging="720"/>
      </w:pPr>
    </w:lvl>
    <w:lvl w:ilvl="5">
      <w:start w:val="1"/>
      <w:numFmt w:val="decimal"/>
      <w:lvlText w:val="%1.%2.%3.%4.%5.%6"/>
      <w:lvlJc w:val="left"/>
      <w:pPr>
        <w:ind w:left="4604" w:hanging="720"/>
      </w:pPr>
    </w:lvl>
    <w:lvl w:ilvl="6">
      <w:start w:val="1"/>
      <w:numFmt w:val="decimal"/>
      <w:lvlText w:val="%1.%2.%3.%4.%5.%6.%7"/>
      <w:lvlJc w:val="left"/>
      <w:pPr>
        <w:ind w:left="5324" w:hanging="720"/>
      </w:pPr>
    </w:lvl>
    <w:lvl w:ilvl="7">
      <w:start w:val="1"/>
      <w:numFmt w:val="decimal"/>
      <w:lvlText w:val="%1.%2.%3.%4.%5.%6.%7.%8"/>
      <w:lvlJc w:val="left"/>
      <w:pPr>
        <w:ind w:left="6044" w:hanging="720"/>
      </w:pPr>
    </w:lvl>
    <w:lvl w:ilvl="8">
      <w:start w:val="1"/>
      <w:numFmt w:val="decimal"/>
      <w:lvlText w:val="%1.%2.%3.%4.%5.%6.%7.%8.%9"/>
      <w:lvlJc w:val="left"/>
      <w:pPr>
        <w:ind w:left="6764" w:hanging="720"/>
      </w:pPr>
    </w:lvl>
  </w:abstractNum>
  <w:abstractNum w:abstractNumId="12" w15:restartNumberingAfterBreak="0">
    <w:nsid w:val="666E4E4B"/>
    <w:multiLevelType w:val="multilevel"/>
    <w:tmpl w:val="931E5ABC"/>
    <w:styleLink w:val="WWNum4"/>
    <w:lvl w:ilvl="0">
      <w:start w:val="2"/>
      <w:numFmt w:val="decimal"/>
      <w:lvlText w:val="%1."/>
      <w:lvlJc w:val="left"/>
      <w:pPr>
        <w:ind w:left="43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A5D43CB"/>
    <w:multiLevelType w:val="multilevel"/>
    <w:tmpl w:val="2C04095E"/>
    <w:styleLink w:val="WWNum8"/>
    <w:lvl w:ilvl="0">
      <w:start w:val="3"/>
      <w:numFmt w:val="lowerLetter"/>
      <w:lvlText w:val="%1."/>
      <w:lvlJc w:val="left"/>
      <w:pPr>
        <w:ind w:left="644" w:hanging="360"/>
      </w:pPr>
    </w:lvl>
    <w:lvl w:ilvl="1">
      <w:numFmt w:val="bullet"/>
      <w:lvlText w:val="•"/>
      <w:lvlJc w:val="left"/>
      <w:pPr>
        <w:ind w:left="1364" w:hanging="360"/>
      </w:pPr>
      <w:rPr>
        <w:rFonts w:ascii="StarSymbol" w:hAnsi="StarSymbol" w:eastAsia="OpenSymbol" w:cs="OpenSymbol"/>
      </w:r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4" w15:restartNumberingAfterBreak="0">
    <w:nsid w:val="7D9475F7"/>
    <w:multiLevelType w:val="multilevel"/>
    <w:tmpl w:val="D1D0CA14"/>
    <w:styleLink w:val="WW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33">
    <w:abstractNumId w:val="15"/>
  </w: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lvl w:ilvl="0">
        <w:numFmt w:val="decimal"/>
        <w:lvlText w:val="%1."/>
        <w:lvlJc w:val="left"/>
        <w:pPr>
          <w:ind w:left="1070" w:hanging="360"/>
        </w:pPr>
      </w:lvl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3"/>
  </w:num>
  <w:num w:numId="8">
    <w:abstractNumId w:val="1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</w:num>
  <w:num w:numId="1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"/>
  </w:num>
  <w:num w:numId="20">
    <w:abstractNumId w:val="5"/>
    <w:lvlOverride w:ilvl="0">
      <w:lvl w:ilvl="0">
        <w:numFmt w:val="bullet"/>
        <w:lvlText w:val=""/>
        <w:lvlJc w:val="left"/>
        <w:pPr>
          <w:ind w:left="360" w:hanging="360"/>
        </w:pPr>
        <w:rPr>
          <w:rFonts w:ascii="Symbol" w:hAnsi="Symbol" w:cs="Symbol"/>
        </w:rPr>
      </w:lvl>
    </w:lvlOverride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lvl w:ilvl="0">
        <w:start w:val="1"/>
        <w:numFmt w:val="decimal"/>
        <w:lvlText w:val="%1"/>
        <w:lvlJc w:val="left"/>
        <w:pPr>
          <w:ind w:left="1004" w:hanging="720"/>
        </w:pPr>
        <w:rPr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724" w:hanging="720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2444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3164" w:hanging="720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3884" w:hanging="720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4" w:hanging="72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324" w:hanging="72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044" w:hanging="72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6764" w:hanging="720"/>
        </w:pPr>
      </w:lvl>
    </w:lvlOverride>
  </w:num>
  <w:num w:numId="29">
    <w:abstractNumId w:val="4"/>
  </w:num>
  <w:num w:numId="30">
    <w:abstractNumId w:val="8"/>
  </w:num>
  <w:num w:numId="31">
    <w:abstractNumId w:val="11"/>
  </w:num>
  <w:num w:numId="32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B4"/>
    <w:rsid w:val="000357C4"/>
    <w:rsid w:val="00083553"/>
    <w:rsid w:val="000C5D24"/>
    <w:rsid w:val="000D1B42"/>
    <w:rsid w:val="000E7D68"/>
    <w:rsid w:val="001439D6"/>
    <w:rsid w:val="00144FF4"/>
    <w:rsid w:val="00181FB7"/>
    <w:rsid w:val="001A7996"/>
    <w:rsid w:val="00252E52"/>
    <w:rsid w:val="002C109E"/>
    <w:rsid w:val="00372240"/>
    <w:rsid w:val="003B6619"/>
    <w:rsid w:val="0043331D"/>
    <w:rsid w:val="004624C3"/>
    <w:rsid w:val="004D5BB8"/>
    <w:rsid w:val="00507CBA"/>
    <w:rsid w:val="006A1242"/>
    <w:rsid w:val="006B7C40"/>
    <w:rsid w:val="0071410F"/>
    <w:rsid w:val="007730DC"/>
    <w:rsid w:val="00786118"/>
    <w:rsid w:val="00800118"/>
    <w:rsid w:val="0084069E"/>
    <w:rsid w:val="0089077B"/>
    <w:rsid w:val="00892F92"/>
    <w:rsid w:val="008F4114"/>
    <w:rsid w:val="009334EC"/>
    <w:rsid w:val="00977D55"/>
    <w:rsid w:val="009B41EF"/>
    <w:rsid w:val="00A21452"/>
    <w:rsid w:val="00A4607B"/>
    <w:rsid w:val="00AA5AF3"/>
    <w:rsid w:val="00AF34FE"/>
    <w:rsid w:val="00B13F27"/>
    <w:rsid w:val="00B168A2"/>
    <w:rsid w:val="00B2556B"/>
    <w:rsid w:val="00BA7A47"/>
    <w:rsid w:val="00BB0432"/>
    <w:rsid w:val="00BC4C09"/>
    <w:rsid w:val="00BE30BE"/>
    <w:rsid w:val="00BE6B10"/>
    <w:rsid w:val="00D03B78"/>
    <w:rsid w:val="00D318D3"/>
    <w:rsid w:val="00DE7BB4"/>
    <w:rsid w:val="00EB3180"/>
    <w:rsid w:val="00EE41DB"/>
    <w:rsid w:val="00F26839"/>
    <w:rsid w:val="054BFEFD"/>
    <w:rsid w:val="0760C8B9"/>
    <w:rsid w:val="0D6AF946"/>
    <w:rsid w:val="0F06B1F8"/>
    <w:rsid w:val="0FAAFF00"/>
    <w:rsid w:val="0FEF5B0A"/>
    <w:rsid w:val="132667C1"/>
    <w:rsid w:val="16798C2D"/>
    <w:rsid w:val="1A26B965"/>
    <w:rsid w:val="1FCBDC74"/>
    <w:rsid w:val="22378DC1"/>
    <w:rsid w:val="28655209"/>
    <w:rsid w:val="2A2DF2BC"/>
    <w:rsid w:val="2A611D2A"/>
    <w:rsid w:val="2B625110"/>
    <w:rsid w:val="30B1E12A"/>
    <w:rsid w:val="32499AC1"/>
    <w:rsid w:val="33FAEAEF"/>
    <w:rsid w:val="34D52216"/>
    <w:rsid w:val="356C29F0"/>
    <w:rsid w:val="39604D6D"/>
    <w:rsid w:val="396CEE03"/>
    <w:rsid w:val="3990D00A"/>
    <w:rsid w:val="3A3F9B13"/>
    <w:rsid w:val="3F130C36"/>
    <w:rsid w:val="41144E84"/>
    <w:rsid w:val="42B01EE5"/>
    <w:rsid w:val="45F25761"/>
    <w:rsid w:val="467610AD"/>
    <w:rsid w:val="48D576B8"/>
    <w:rsid w:val="4959A8DA"/>
    <w:rsid w:val="4BF97CC4"/>
    <w:rsid w:val="4F54FF8D"/>
    <w:rsid w:val="4FF8D40E"/>
    <w:rsid w:val="5337EC06"/>
    <w:rsid w:val="544A81B7"/>
    <w:rsid w:val="5AB8F680"/>
    <w:rsid w:val="5CB7D338"/>
    <w:rsid w:val="5CC600D6"/>
    <w:rsid w:val="5FF03F16"/>
    <w:rsid w:val="639DD8B2"/>
    <w:rsid w:val="65DD0BAC"/>
    <w:rsid w:val="697BD3C1"/>
    <w:rsid w:val="69ECA033"/>
    <w:rsid w:val="6EEF6F59"/>
    <w:rsid w:val="6F87CF79"/>
    <w:rsid w:val="6F87CF79"/>
    <w:rsid w:val="71D39ACE"/>
    <w:rsid w:val="72C9BE13"/>
    <w:rsid w:val="75A4327A"/>
    <w:rsid w:val="75E60B69"/>
    <w:rsid w:val="7761F5D2"/>
    <w:rsid w:val="791DA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29F8"/>
  <w15:chartTrackingRefBased/>
  <w15:docId w15:val="{5AA97B9A-25F0-429B-A56E-58C9100F50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C5D24"/>
    <w:pPr>
      <w:widowControl w:val="0"/>
      <w:suppressAutoHyphens/>
      <w:autoSpaceDN w:val="0"/>
      <w:spacing w:after="0" w:line="249" w:lineRule="auto"/>
    </w:pPr>
    <w:rPr>
      <w:rFonts w:ascii="Calibri" w:hAnsi="Calibri" w:eastAsia="Calibri" w:cs="Tahoma"/>
      <w:kern w:val="3"/>
      <w:sz w:val="20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0C5D24"/>
    <w:pPr>
      <w:keepNext/>
      <w:ind w:left="360"/>
      <w:jc w:val="center"/>
      <w:outlineLvl w:val="0"/>
    </w:pPr>
    <w:rPr>
      <w:b/>
      <w:bCs/>
      <w:u w:val="singl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0C5D24"/>
    <w:rPr>
      <w:rFonts w:ascii="Times New Roman" w:hAnsi="Times New Roman" w:eastAsia="Times New Roman" w:cs="Times New Roman"/>
      <w:b/>
      <w:bCs/>
      <w:color w:val="00000A"/>
      <w:kern w:val="3"/>
      <w:sz w:val="24"/>
      <w:szCs w:val="24"/>
      <w:u w:val="single"/>
      <w:lang w:eastAsia="ar-SA"/>
    </w:rPr>
  </w:style>
  <w:style w:type="paragraph" w:styleId="Standard" w:customStyle="1">
    <w:name w:val="Standard"/>
    <w:rsid w:val="000C5D24"/>
    <w:pPr>
      <w:suppressAutoHyphens/>
      <w:autoSpaceDN w:val="0"/>
      <w:spacing w:after="0" w:line="240" w:lineRule="auto"/>
    </w:pPr>
    <w:rPr>
      <w:rFonts w:ascii="Times New Roman" w:hAnsi="Times New Roman" w:eastAsia="Times New Roman" w:cs="Times New Roman"/>
      <w:color w:val="00000A"/>
      <w:kern w:val="3"/>
      <w:sz w:val="24"/>
      <w:szCs w:val="24"/>
      <w:lang w:eastAsia="ar-SA"/>
    </w:rPr>
  </w:style>
  <w:style w:type="paragraph" w:styleId="Textbody" w:customStyle="1">
    <w:name w:val="Text body"/>
    <w:basedOn w:val="Standard"/>
    <w:rsid w:val="000C5D24"/>
    <w:pPr>
      <w:spacing w:after="140" w:line="288" w:lineRule="auto"/>
    </w:pPr>
  </w:style>
  <w:style w:type="paragraph" w:styleId="Wcicietrecitekstu" w:customStyle="1">
    <w:name w:val="Wcięcie treści tekstu"/>
    <w:basedOn w:val="Standard"/>
    <w:rsid w:val="000C5D24"/>
    <w:pPr>
      <w:ind w:left="720" w:hanging="360"/>
      <w:jc w:val="both"/>
    </w:pPr>
  </w:style>
  <w:style w:type="paragraph" w:styleId="Akapitzlist1" w:customStyle="1">
    <w:name w:val="Akapit z listą1"/>
    <w:basedOn w:val="Standard"/>
    <w:rsid w:val="000C5D24"/>
    <w:pPr>
      <w:spacing w:line="100" w:lineRule="atLeast"/>
      <w:ind w:left="708"/>
    </w:pPr>
    <w:rPr>
      <w:sz w:val="28"/>
      <w:szCs w:val="20"/>
      <w:lang w:eastAsia="hi-IN" w:bidi="hi-IN"/>
    </w:rPr>
  </w:style>
  <w:style w:type="character" w:styleId="Internetlink" w:customStyle="1">
    <w:name w:val="Internet link"/>
    <w:basedOn w:val="Domylnaczcionkaakapitu"/>
    <w:rsid w:val="000C5D24"/>
    <w:rPr>
      <w:color w:val="0563C1"/>
      <w:u w:val="single" w:color="000000"/>
      <w:lang w:val="pl-PL" w:eastAsia="pl-PL" w:bidi="pl-PL"/>
    </w:rPr>
  </w:style>
  <w:style w:type="paragraph" w:styleId="Akapitzlist">
    <w:name w:val="List Paragraph"/>
    <w:basedOn w:val="Standard"/>
    <w:qFormat/>
    <w:rsid w:val="000C5D24"/>
    <w:pPr>
      <w:ind w:left="708"/>
    </w:pPr>
  </w:style>
  <w:style w:type="numbering" w:styleId="WWNum1" w:customStyle="1">
    <w:name w:val="WWNum1"/>
    <w:rsid w:val="000C5D24"/>
    <w:pPr>
      <w:numPr>
        <w:numId w:val="1"/>
      </w:numPr>
    </w:pPr>
  </w:style>
  <w:style w:type="numbering" w:styleId="WWNum2" w:customStyle="1">
    <w:name w:val="WWNum2"/>
    <w:rsid w:val="000C5D24"/>
    <w:pPr>
      <w:numPr>
        <w:numId w:val="3"/>
      </w:numPr>
    </w:pPr>
  </w:style>
  <w:style w:type="numbering" w:styleId="WWNum8" w:customStyle="1">
    <w:name w:val="WWNum8"/>
    <w:rsid w:val="000C5D24"/>
    <w:pPr>
      <w:numPr>
        <w:numId w:val="7"/>
      </w:numPr>
    </w:pPr>
  </w:style>
  <w:style w:type="numbering" w:styleId="WWNum3" w:customStyle="1">
    <w:name w:val="WWNum3"/>
    <w:rsid w:val="000C5D24"/>
    <w:pPr>
      <w:numPr>
        <w:numId w:val="10"/>
      </w:numPr>
    </w:pPr>
  </w:style>
  <w:style w:type="numbering" w:styleId="WWNum4" w:customStyle="1">
    <w:name w:val="WWNum4"/>
    <w:rsid w:val="000C5D24"/>
    <w:pPr>
      <w:numPr>
        <w:numId w:val="13"/>
      </w:numPr>
    </w:pPr>
  </w:style>
  <w:style w:type="numbering" w:styleId="WWNum5" w:customStyle="1">
    <w:name w:val="WWNum5"/>
    <w:rsid w:val="000C5D24"/>
    <w:pPr>
      <w:numPr>
        <w:numId w:val="15"/>
      </w:numPr>
    </w:pPr>
  </w:style>
  <w:style w:type="numbering" w:styleId="WWNum6" w:customStyle="1">
    <w:name w:val="WWNum6"/>
    <w:rsid w:val="000C5D24"/>
    <w:pPr>
      <w:numPr>
        <w:numId w:val="18"/>
      </w:numPr>
    </w:pPr>
  </w:style>
  <w:style w:type="numbering" w:styleId="WWNum7" w:customStyle="1">
    <w:name w:val="WWNum7"/>
    <w:rsid w:val="000C5D24"/>
    <w:pPr>
      <w:numPr>
        <w:numId w:val="21"/>
      </w:numPr>
    </w:pPr>
  </w:style>
  <w:style w:type="numbering" w:styleId="WWNum9" w:customStyle="1">
    <w:name w:val="WWNum9"/>
    <w:rsid w:val="000C5D24"/>
    <w:pPr>
      <w:numPr>
        <w:numId w:val="25"/>
      </w:numPr>
    </w:pPr>
  </w:style>
  <w:style w:type="paragraph" w:styleId="Nagwek">
    <w:name w:val="header"/>
    <w:basedOn w:val="Normalny"/>
    <w:link w:val="NagwekZnak"/>
    <w:uiPriority w:val="99"/>
    <w:unhideWhenUsed/>
    <w:rsid w:val="00F26839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26839"/>
    <w:rPr>
      <w:rFonts w:ascii="Calibri" w:hAnsi="Calibri" w:eastAsia="Calibri" w:cs="Tahoma"/>
      <w:kern w:val="3"/>
      <w:sz w:val="20"/>
    </w:rPr>
  </w:style>
  <w:style w:type="paragraph" w:styleId="Stopka">
    <w:name w:val="footer"/>
    <w:basedOn w:val="Normalny"/>
    <w:link w:val="StopkaZnak"/>
    <w:uiPriority w:val="99"/>
    <w:unhideWhenUsed/>
    <w:rsid w:val="00F26839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26839"/>
    <w:rPr>
      <w:rFonts w:ascii="Calibri" w:hAnsi="Calibri" w:eastAsia="Calibri" w:cs="Tahoma"/>
      <w:kern w:val="3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4C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4C09"/>
    <w:pPr>
      <w:spacing w:line="240" w:lineRule="auto"/>
    </w:pPr>
    <w:rPr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BC4C09"/>
    <w:rPr>
      <w:rFonts w:ascii="Calibri" w:hAnsi="Calibri" w:eastAsia="Calibri" w:cs="Tahoma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C09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4C09"/>
    <w:rPr>
      <w:rFonts w:ascii="Calibri" w:hAnsi="Calibri" w:eastAsia="Calibri" w:cs="Tahoma"/>
      <w:b/>
      <w:bCs/>
      <w:kern w:val="3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30DC"/>
    <w:rPr>
      <w:color w:val="0563C1" w:themeColor="hyperlink"/>
      <w:u w:val="single"/>
    </w:rPr>
  </w:style>
  <w:style w:type="character" w:styleId="UnresolvedMention" w:customStyle="1">
    <w:name w:val="Unresolved Mention"/>
    <w:basedOn w:val="Domylnaczcionkaakapitu"/>
    <w:uiPriority w:val="99"/>
    <w:semiHidden/>
    <w:unhideWhenUsed/>
    <w:rsid w:val="007730D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47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BA7A47"/>
    <w:rPr>
      <w:rFonts w:ascii="Segoe UI" w:hAnsi="Segoe UI" w:eastAsia="Calibr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header" Target="header3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file:///D:/PRACA%20COSiD/REGULAMIN%202021-2022/za&#322;.%207%20wersja%20podstawowa.docx" TargetMode="External" Id="rId14" /><Relationship Type="http://schemas.openxmlformats.org/officeDocument/2006/relationships/theme" Target="theme/theme1.xml" Id="rId22" /><Relationship Type="http://schemas.microsoft.com/office/2011/relationships/people" Target="people.xml" Id="R3c99368b7351486e" /><Relationship Type="http://schemas.microsoft.com/office/2011/relationships/commentsExtended" Target="commentsExtended.xml" Id="R8182f6a0b0db46cb" /><Relationship Type="http://schemas.microsoft.com/office/2016/09/relationships/commentsIds" Target="commentsIds.xml" Id="R5626064b2dff4a98" /><Relationship Type="http://schemas.openxmlformats.org/officeDocument/2006/relationships/hyperlink" Target="http://cos.uni.lodz.pl/wp-content/uploads/2011/07/13-o&#347;wiadczenie-o-dochodzie-podlegaj&#261;cym-opodatkowaniu-podatkiem-dochodowym-od-os&#243;b-fizycznych.pdf" TargetMode="External" Id="R2d91bb11604648f7" /><Relationship Type="http://schemas.openxmlformats.org/officeDocument/2006/relationships/hyperlink" Target="http://cos.uni.lodz.pl/wp-content/uploads/2011/07/13-o&#347;wiadczenie-o-dochodzie-podlegaj&#261;cym-opodatkowaniu-podatkiem-dochodowym-od-os&#243;b-fizycznych.pdf" TargetMode="External" Id="Ra50211eb40df48d3" /><Relationship Type="http://schemas.openxmlformats.org/officeDocument/2006/relationships/hyperlink" Target="http://cos.uni.lodz.pl/wp-content/uploads/2011/07/12-o&#347;wiadczenie-cz&#322;onka-rodziny-o-dochodzie-niepodlegaj&#261;cym-opodatkowaniu-podatkiem-dochodowym-od-os&#243;b-fizycznych.pdf" TargetMode="External" Id="R18e3cb4db6a04874" /><Relationship Type="http://schemas.openxmlformats.org/officeDocument/2006/relationships/hyperlink" Target="file:///D:/PRACA%20COSiD/REGULAMIN%202021-2022/za&#322;.%207%20wersja%20podstawowa.docx" TargetMode="External" Id="Rd75f97f63af14ece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27616E-4CCE-4CA6-97E9-735FFC1F1F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420BED-B89F-4EC4-A689-DFCB6B7A4DD7}"/>
</file>

<file path=customXml/itemProps3.xml><?xml version="1.0" encoding="utf-8"?>
<ds:datastoreItem xmlns:ds="http://schemas.openxmlformats.org/officeDocument/2006/customXml" ds:itemID="{C1A1ABD1-9A0D-4BC9-81DE-00E090C22BA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Zdrzalik</dc:creator>
  <cp:keywords/>
  <dc:description/>
  <cp:lastModifiedBy>Dorota Zdrzalik</cp:lastModifiedBy>
  <cp:revision>12</cp:revision>
  <cp:lastPrinted>2022-09-15T10:25:00Z</cp:lastPrinted>
  <dcterms:created xsi:type="dcterms:W3CDTF">2022-07-12T13:18:00Z</dcterms:created>
  <dcterms:modified xsi:type="dcterms:W3CDTF">2023-08-29T09:50:49Z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